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76" w:rsidRPr="00A55785" w:rsidRDefault="001D4B76" w:rsidP="001D4B76">
      <w:pPr>
        <w:spacing w:line="240" w:lineRule="exact"/>
        <w:jc w:val="center"/>
        <w:rPr>
          <w:b/>
          <w:caps/>
          <w:sz w:val="18"/>
        </w:rPr>
      </w:pPr>
      <w:r w:rsidRPr="00A55785">
        <w:rPr>
          <w:b/>
          <w:caps/>
          <w:sz w:val="18"/>
        </w:rPr>
        <w:t xml:space="preserve">Collectieve arbeidsovereenkomst inzake de garantieregeling vervroegd uittreden voor de Houtverwerkende Industrie </w:t>
      </w:r>
      <w:r>
        <w:rPr>
          <w:b/>
          <w:caps/>
          <w:sz w:val="18"/>
        </w:rPr>
        <w:t>2014</w:t>
      </w:r>
    </w:p>
    <w:p w:rsidR="001D4B76" w:rsidRPr="00F90443" w:rsidRDefault="001D4B76" w:rsidP="001D4B76">
      <w:pPr>
        <w:pStyle w:val="Plattetekstinspringen3"/>
        <w:spacing w:line="240" w:lineRule="exact"/>
        <w:ind w:left="0" w:firstLine="0"/>
      </w:pPr>
    </w:p>
    <w:p w:rsidR="001D4B76" w:rsidRPr="006E39D6" w:rsidRDefault="001D4B76" w:rsidP="001D4B76">
      <w:pPr>
        <w:spacing w:line="240" w:lineRule="exact"/>
        <w:rPr>
          <w:sz w:val="18"/>
        </w:rPr>
      </w:pPr>
      <w:r w:rsidRPr="006E39D6">
        <w:rPr>
          <w:sz w:val="18"/>
        </w:rPr>
        <w:t>Tussen:</w:t>
      </w:r>
    </w:p>
    <w:p w:rsidR="001D4B76" w:rsidRPr="006E39D6" w:rsidRDefault="001D4B76" w:rsidP="001D4B76">
      <w:pPr>
        <w:numPr>
          <w:ilvl w:val="0"/>
          <w:numId w:val="1"/>
        </w:numPr>
        <w:tabs>
          <w:tab w:val="num" w:pos="426"/>
        </w:tabs>
        <w:spacing w:line="240" w:lineRule="exact"/>
        <w:ind w:left="0" w:firstLine="0"/>
        <w:rPr>
          <w:sz w:val="18"/>
        </w:rPr>
      </w:pPr>
      <w:r w:rsidRPr="006E39D6">
        <w:rPr>
          <w:sz w:val="18"/>
        </w:rPr>
        <w:t>de Vereniging HAS, gevestigd te Tilburg;</w:t>
      </w:r>
    </w:p>
    <w:p w:rsidR="001D4B76" w:rsidRPr="006E39D6" w:rsidRDefault="001D4B76" w:rsidP="001D4B76">
      <w:pPr>
        <w:numPr>
          <w:ilvl w:val="0"/>
          <w:numId w:val="1"/>
        </w:numPr>
        <w:tabs>
          <w:tab w:val="num" w:pos="426"/>
        </w:tabs>
        <w:spacing w:line="240" w:lineRule="exact"/>
        <w:ind w:left="426" w:hanging="426"/>
        <w:rPr>
          <w:sz w:val="18"/>
        </w:rPr>
      </w:pPr>
      <w:r w:rsidRPr="006E39D6">
        <w:rPr>
          <w:sz w:val="18"/>
        </w:rPr>
        <w:t>de Vereniging van Nederlandse Borstelfabrikanten, gevestigd te Tilburg;</w:t>
      </w:r>
    </w:p>
    <w:p w:rsidR="001D4B76" w:rsidRPr="006E39D6" w:rsidRDefault="001D4B76" w:rsidP="001D4B76">
      <w:pPr>
        <w:numPr>
          <w:ilvl w:val="0"/>
          <w:numId w:val="1"/>
        </w:numPr>
        <w:tabs>
          <w:tab w:val="num" w:pos="426"/>
        </w:tabs>
        <w:spacing w:line="240" w:lineRule="exact"/>
        <w:ind w:left="426" w:hanging="426"/>
        <w:rPr>
          <w:sz w:val="18"/>
        </w:rPr>
      </w:pPr>
      <w:r w:rsidRPr="006E39D6">
        <w:rPr>
          <w:sz w:val="18"/>
        </w:rPr>
        <w:t>de Nederlandse Emballage- en Palletindustrie Vereniging, gevestigd te Tilburg;</w:t>
      </w:r>
    </w:p>
    <w:p w:rsidR="001D4B76" w:rsidRPr="006E39D6" w:rsidRDefault="001D4B76" w:rsidP="001D4B76">
      <w:pPr>
        <w:numPr>
          <w:ilvl w:val="0"/>
          <w:numId w:val="1"/>
        </w:numPr>
        <w:tabs>
          <w:tab w:val="num" w:pos="426"/>
        </w:tabs>
        <w:spacing w:line="240" w:lineRule="exact"/>
        <w:ind w:left="426" w:hanging="426"/>
        <w:rPr>
          <w:sz w:val="18"/>
        </w:rPr>
      </w:pPr>
      <w:r w:rsidRPr="006E39D6">
        <w:rPr>
          <w:sz w:val="18"/>
        </w:rPr>
        <w:t>de Nederlandse Vereniging van Klompenfabrikanten, gevestigd te Liempde;</w:t>
      </w:r>
    </w:p>
    <w:p w:rsidR="001D4B76" w:rsidRPr="006E39D6" w:rsidRDefault="001D4B76" w:rsidP="001D4B76">
      <w:pPr>
        <w:tabs>
          <w:tab w:val="num" w:pos="426"/>
        </w:tabs>
        <w:spacing w:line="240" w:lineRule="exact"/>
        <w:ind w:left="426" w:hanging="426"/>
        <w:rPr>
          <w:sz w:val="18"/>
        </w:rPr>
      </w:pPr>
      <w:r w:rsidRPr="006E39D6">
        <w:rPr>
          <w:sz w:val="18"/>
        </w:rPr>
        <w:tab/>
        <w:t>elk als partij ter ener zijde en:</w:t>
      </w:r>
    </w:p>
    <w:p w:rsidR="001D4B76" w:rsidRPr="006E39D6" w:rsidRDefault="001D4B76" w:rsidP="001D4B76">
      <w:pPr>
        <w:numPr>
          <w:ilvl w:val="0"/>
          <w:numId w:val="1"/>
        </w:numPr>
        <w:tabs>
          <w:tab w:val="num" w:pos="426"/>
        </w:tabs>
        <w:spacing w:line="240" w:lineRule="exact"/>
        <w:ind w:left="426" w:hanging="426"/>
        <w:rPr>
          <w:sz w:val="18"/>
        </w:rPr>
      </w:pPr>
      <w:r w:rsidRPr="006E39D6">
        <w:rPr>
          <w:sz w:val="18"/>
        </w:rPr>
        <w:t>FNV Bouw, gevestigd te Woerden;</w:t>
      </w:r>
    </w:p>
    <w:p w:rsidR="001D4B76" w:rsidRPr="006E39D6" w:rsidRDefault="001D4B76" w:rsidP="001D4B76">
      <w:pPr>
        <w:numPr>
          <w:ilvl w:val="0"/>
          <w:numId w:val="1"/>
        </w:numPr>
        <w:tabs>
          <w:tab w:val="num" w:pos="426"/>
        </w:tabs>
        <w:spacing w:line="240" w:lineRule="exact"/>
        <w:ind w:left="426" w:hanging="426"/>
        <w:rPr>
          <w:sz w:val="18"/>
        </w:rPr>
      </w:pPr>
      <w:r>
        <w:rPr>
          <w:sz w:val="18"/>
        </w:rPr>
        <w:t xml:space="preserve">CNV Vakmensen </w:t>
      </w:r>
      <w:r w:rsidRPr="006E39D6">
        <w:rPr>
          <w:sz w:val="18"/>
        </w:rPr>
        <w:t xml:space="preserve">, gevestigd te </w:t>
      </w:r>
      <w:r>
        <w:rPr>
          <w:sz w:val="18"/>
        </w:rPr>
        <w:t>Utrecht</w:t>
      </w:r>
      <w:r w:rsidRPr="006E39D6">
        <w:rPr>
          <w:sz w:val="18"/>
        </w:rPr>
        <w:t>; elk als partij ter andere zijde,</w:t>
      </w:r>
    </w:p>
    <w:p w:rsidR="001D4B76" w:rsidRPr="006E39D6" w:rsidRDefault="001D4B76" w:rsidP="001D4B76">
      <w:pPr>
        <w:tabs>
          <w:tab w:val="num" w:pos="426"/>
        </w:tabs>
        <w:spacing w:line="240" w:lineRule="exact"/>
        <w:rPr>
          <w:sz w:val="18"/>
        </w:rPr>
      </w:pPr>
      <w:r w:rsidRPr="006E39D6">
        <w:rPr>
          <w:sz w:val="18"/>
        </w:rPr>
        <w:t>is de navolgende collectieve arbeidsovereenkomst gesloten.</w:t>
      </w:r>
    </w:p>
    <w:p w:rsidR="001D4B76" w:rsidRPr="006E39D6" w:rsidRDefault="001D4B76" w:rsidP="001D4B76">
      <w:pPr>
        <w:tabs>
          <w:tab w:val="num" w:pos="426"/>
        </w:tabs>
        <w:spacing w:line="240" w:lineRule="exact"/>
        <w:rPr>
          <w:strike/>
          <w:sz w:val="18"/>
        </w:rPr>
      </w:pPr>
    </w:p>
    <w:p w:rsidR="001D4B76" w:rsidRPr="00F90443" w:rsidRDefault="001D4B76" w:rsidP="001D4B76">
      <w:pPr>
        <w:spacing w:line="240" w:lineRule="exact"/>
        <w:jc w:val="center"/>
        <w:rPr>
          <w:b/>
          <w:sz w:val="18"/>
        </w:rPr>
      </w:pPr>
      <w:r w:rsidRPr="00F90443">
        <w:rPr>
          <w:b/>
          <w:sz w:val="18"/>
        </w:rPr>
        <w:t>Artikel 1</w:t>
      </w:r>
    </w:p>
    <w:p w:rsidR="001D4B76" w:rsidRPr="00F90443" w:rsidRDefault="001D4B76" w:rsidP="001D4B76">
      <w:pPr>
        <w:spacing w:line="240" w:lineRule="exact"/>
        <w:jc w:val="center"/>
        <w:rPr>
          <w:b/>
          <w:sz w:val="18"/>
        </w:rPr>
      </w:pPr>
      <w:r w:rsidRPr="00F90443">
        <w:rPr>
          <w:b/>
          <w:sz w:val="18"/>
        </w:rPr>
        <w:t>Werkingssfeer</w:t>
      </w:r>
    </w:p>
    <w:p w:rsidR="001D4B76" w:rsidRPr="00F90443" w:rsidRDefault="001D4B76" w:rsidP="001D4B76">
      <w:pPr>
        <w:spacing w:line="240" w:lineRule="exact"/>
        <w:rPr>
          <w:sz w:val="18"/>
        </w:rPr>
      </w:pP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1.</w:t>
      </w:r>
      <w:r w:rsidRPr="00F90443">
        <w:rPr>
          <w:sz w:val="18"/>
        </w:rPr>
        <w:tab/>
        <w:t>Deze overeenkomst is van toepassing:</w:t>
      </w:r>
    </w:p>
    <w:p w:rsidR="001D4B76" w:rsidRPr="00F90443" w:rsidRDefault="001D4B76" w:rsidP="001D4B76">
      <w:pPr>
        <w:tabs>
          <w:tab w:val="left" w:pos="426"/>
          <w:tab w:val="left" w:pos="851"/>
          <w:tab w:val="left" w:pos="1276"/>
          <w:tab w:val="left" w:pos="1701"/>
        </w:tabs>
        <w:spacing w:line="240" w:lineRule="exact"/>
        <w:ind w:left="851" w:hanging="851"/>
        <w:rPr>
          <w:sz w:val="18"/>
        </w:rPr>
      </w:pPr>
      <w:r w:rsidRPr="00F90443">
        <w:rPr>
          <w:sz w:val="18"/>
        </w:rPr>
        <w:tab/>
        <w:t>A.</w:t>
      </w:r>
      <w:r w:rsidRPr="00F90443">
        <w:rPr>
          <w:sz w:val="18"/>
        </w:rPr>
        <w:tab/>
        <w:t>Op ondernemingen, waarin het bedrijf wordt uitgeoefend van de vervaardiging, assemblage, import en groothandel van artikelen van hout of kunststof danwel hetgeen binnen het kader van deze ondernemingen ter vervanging van deze grondstof dient, waaronder begrepen: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1.</w:t>
      </w:r>
      <w:r w:rsidRPr="00F90443">
        <w:rPr>
          <w:sz w:val="18"/>
        </w:rPr>
        <w:tab/>
        <w:t>huishoudelijke artikelen (met uitzondering van groothandel);</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2.</w:t>
      </w:r>
      <w:r w:rsidRPr="00F90443">
        <w:rPr>
          <w:sz w:val="18"/>
        </w:rPr>
        <w:tab/>
        <w:t>speelgoederen;</w:t>
      </w:r>
      <w:r>
        <w:rPr>
          <w:sz w:val="18"/>
        </w:rPr>
        <w:t xml:space="preserve"> waaronder educatieve materialen;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3.</w:t>
      </w:r>
      <w:r w:rsidRPr="00F90443">
        <w:rPr>
          <w:sz w:val="18"/>
        </w:rPr>
        <w:tab/>
        <w:t>sportartikelen;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4.</w:t>
      </w:r>
      <w:r w:rsidRPr="00F90443">
        <w:rPr>
          <w:sz w:val="18"/>
        </w:rPr>
        <w:tab/>
        <w:t>gereedschappen en onderdelen daarvan;</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r>
      <w:r w:rsidRPr="00F90443">
        <w:rPr>
          <w:sz w:val="18"/>
        </w:rPr>
        <w:tab/>
        <w:t>5.</w:t>
      </w:r>
      <w:r w:rsidRPr="00F90443">
        <w:rPr>
          <w:sz w:val="18"/>
        </w:rPr>
        <w:tab/>
        <w:t>technische artikelen ten behoeve van industrie, ambacht, bedrijf, beroep en instellingen;</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r>
      <w:r w:rsidRPr="00F90443">
        <w:rPr>
          <w:sz w:val="18"/>
        </w:rPr>
        <w:tab/>
        <w:t>6.</w:t>
      </w:r>
      <w:r w:rsidRPr="00F90443">
        <w:rPr>
          <w:sz w:val="18"/>
        </w:rPr>
        <w:tab/>
        <w:t>gebogen en gedraaide, gekartelde, geperste, gelijmde en geverfde producten;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7.</w:t>
      </w:r>
      <w:r w:rsidRPr="00F90443">
        <w:rPr>
          <w:sz w:val="18"/>
        </w:rPr>
        <w:tab/>
        <w:t>looprekken, kinderstoelen, lectuurbakken;</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r>
      <w:r w:rsidRPr="00F90443">
        <w:rPr>
          <w:sz w:val="18"/>
        </w:rPr>
        <w:tab/>
        <w:t>8.</w:t>
      </w:r>
      <w:r w:rsidRPr="00F90443">
        <w:rPr>
          <w:sz w:val="18"/>
        </w:rPr>
        <w:tab/>
        <w:t>naaidozen, etagères, thermometers, barometers, borstelhangers, eenvoudige boekenplanken, etensdragers, dienbladen, souvenirartikelen, sigarenkisten, sierdozen en andere houten kleinverpakkingen;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t>9.</w:t>
      </w:r>
      <w:r w:rsidRPr="00F90443">
        <w:rPr>
          <w:sz w:val="18"/>
        </w:rPr>
        <w:tab/>
        <w:t>lucifers en potloden;</w:t>
      </w:r>
    </w:p>
    <w:p w:rsidR="001D4B76" w:rsidRPr="00F90443" w:rsidRDefault="001D4B76" w:rsidP="001D4B76">
      <w:pPr>
        <w:numPr>
          <w:ilvl w:val="0"/>
          <w:numId w:val="2"/>
        </w:numPr>
        <w:tabs>
          <w:tab w:val="left" w:pos="426"/>
          <w:tab w:val="left" w:pos="851"/>
          <w:tab w:val="left" w:pos="1701"/>
        </w:tabs>
        <w:spacing w:line="240" w:lineRule="exact"/>
        <w:rPr>
          <w:sz w:val="18"/>
        </w:rPr>
      </w:pPr>
      <w:r w:rsidRPr="00F90443">
        <w:rPr>
          <w:sz w:val="18"/>
        </w:rPr>
        <w:t>decoratieve producten voor de particuliere tuin;</w:t>
      </w:r>
    </w:p>
    <w:p w:rsidR="001D4B76" w:rsidRPr="00F90443" w:rsidRDefault="001D4B76" w:rsidP="001D4B76">
      <w:pPr>
        <w:numPr>
          <w:ilvl w:val="0"/>
          <w:numId w:val="2"/>
        </w:numPr>
        <w:tabs>
          <w:tab w:val="left" w:pos="426"/>
          <w:tab w:val="left" w:pos="851"/>
          <w:tab w:val="left" w:pos="1701"/>
        </w:tabs>
        <w:spacing w:line="240" w:lineRule="exact"/>
        <w:rPr>
          <w:sz w:val="18"/>
        </w:rPr>
      </w:pPr>
      <w:r w:rsidRPr="00F90443">
        <w:rPr>
          <w:sz w:val="18"/>
        </w:rPr>
        <w:t>fineer;</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r>
      <w:r w:rsidRPr="00F90443">
        <w:rPr>
          <w:sz w:val="18"/>
        </w:rPr>
        <w:tab/>
        <w:t>12.</w:t>
      </w:r>
      <w:r w:rsidRPr="00F90443">
        <w:rPr>
          <w:sz w:val="18"/>
        </w:rPr>
        <w:tab/>
        <w:t>andere producten van hout of hetgeen ter vervanging daarvan dient, met uitzondering van: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r>
      <w:r w:rsidRPr="00F90443">
        <w:rPr>
          <w:sz w:val="18"/>
        </w:rPr>
        <w:tab/>
        <w:t>a.</w:t>
      </w:r>
      <w:r w:rsidRPr="00F90443">
        <w:rPr>
          <w:sz w:val="18"/>
        </w:rPr>
        <w:tab/>
        <w:t>meubelen en onderdelen daarvan;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r>
      <w:r w:rsidRPr="00F90443">
        <w:rPr>
          <w:sz w:val="18"/>
        </w:rPr>
        <w:tab/>
        <w:t>b.</w:t>
      </w:r>
      <w:r w:rsidRPr="00F90443">
        <w:rPr>
          <w:sz w:val="18"/>
        </w:rPr>
        <w:tab/>
        <w:t>producten voor de bouwnijverheid (timmerwerk);</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r>
      <w:r w:rsidRPr="00F90443">
        <w:rPr>
          <w:sz w:val="18"/>
        </w:rPr>
        <w:tab/>
        <w:t>c.</w:t>
      </w:r>
      <w:r w:rsidRPr="00F90443">
        <w:rPr>
          <w:sz w:val="18"/>
        </w:rPr>
        <w:tab/>
        <w:t>triplex en meubelplaat;</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r>
      <w:r w:rsidRPr="00F90443">
        <w:rPr>
          <w:sz w:val="18"/>
        </w:rPr>
        <w:tab/>
        <w:t>d.</w:t>
      </w:r>
      <w:r w:rsidRPr="00F90443">
        <w:rPr>
          <w:sz w:val="18"/>
        </w:rPr>
        <w:tab/>
        <w:t>parket- en hardhoutvloeren;</w:t>
      </w:r>
    </w:p>
    <w:p w:rsidR="001D4B76" w:rsidRPr="00F90443" w:rsidRDefault="001D4B76" w:rsidP="001D4B76">
      <w:pPr>
        <w:tabs>
          <w:tab w:val="left" w:pos="426"/>
          <w:tab w:val="left" w:pos="851"/>
          <w:tab w:val="left" w:pos="1276"/>
          <w:tab w:val="left" w:pos="1701"/>
        </w:tabs>
        <w:spacing w:line="240" w:lineRule="exact"/>
        <w:rPr>
          <w:sz w:val="18"/>
        </w:rPr>
      </w:pPr>
      <w:r w:rsidRPr="00F90443">
        <w:rPr>
          <w:sz w:val="18"/>
        </w:rPr>
        <w:tab/>
      </w:r>
      <w:r w:rsidRPr="00F90443">
        <w:rPr>
          <w:sz w:val="18"/>
        </w:rPr>
        <w:tab/>
      </w:r>
      <w:r w:rsidRPr="00F90443">
        <w:rPr>
          <w:sz w:val="18"/>
        </w:rPr>
        <w:tab/>
        <w:t>e.</w:t>
      </w:r>
      <w:r w:rsidRPr="00F90443">
        <w:rPr>
          <w:sz w:val="18"/>
        </w:rPr>
        <w:tab/>
        <w:t>houtvezelplaten;</w:t>
      </w:r>
    </w:p>
    <w:p w:rsidR="001D4B76" w:rsidRPr="00F90443" w:rsidRDefault="001D4B76" w:rsidP="001D4B76">
      <w:pPr>
        <w:tabs>
          <w:tab w:val="left" w:pos="426"/>
          <w:tab w:val="left" w:pos="851"/>
          <w:tab w:val="left" w:pos="1276"/>
          <w:tab w:val="left" w:pos="1701"/>
        </w:tabs>
        <w:spacing w:line="240" w:lineRule="exact"/>
        <w:ind w:left="1701" w:hanging="1701"/>
        <w:rPr>
          <w:sz w:val="18"/>
        </w:rPr>
      </w:pPr>
      <w:r w:rsidRPr="00F90443">
        <w:rPr>
          <w:sz w:val="18"/>
        </w:rPr>
        <w:tab/>
      </w:r>
      <w:r w:rsidRPr="00F90443">
        <w:rPr>
          <w:sz w:val="18"/>
        </w:rPr>
        <w:tab/>
      </w:r>
      <w:r w:rsidRPr="00F90443">
        <w:rPr>
          <w:sz w:val="18"/>
        </w:rPr>
        <w:tab/>
        <w:t>f.</w:t>
      </w:r>
      <w:r w:rsidRPr="00F90443">
        <w:rPr>
          <w:sz w:val="18"/>
        </w:rPr>
        <w:tab/>
        <w:t>producten van de ondernemingen, vallend onder de werkingssfeer van de CAO voor de rubber- en kunststofindustrie.</w:t>
      </w:r>
    </w:p>
    <w:p w:rsidR="001D4B76" w:rsidRPr="00F90443" w:rsidRDefault="001D4B76" w:rsidP="001D4B76">
      <w:pPr>
        <w:tabs>
          <w:tab w:val="left" w:pos="426"/>
          <w:tab w:val="left" w:pos="900"/>
          <w:tab w:val="left" w:pos="1276"/>
          <w:tab w:val="left" w:pos="1701"/>
        </w:tabs>
        <w:spacing w:line="240" w:lineRule="exact"/>
        <w:ind w:left="900"/>
        <w:rPr>
          <w:sz w:val="18"/>
        </w:rPr>
      </w:pPr>
      <w:r w:rsidRPr="00F90443">
        <w:rPr>
          <w:sz w:val="18"/>
        </w:rPr>
        <w:t>Met uitzondering van de volgende ondernemingen:</w:t>
      </w:r>
    </w:p>
    <w:p w:rsidR="001D4B76" w:rsidRPr="00F90443" w:rsidRDefault="001D4B76" w:rsidP="001D4B76">
      <w:pPr>
        <w:numPr>
          <w:ilvl w:val="0"/>
          <w:numId w:val="3"/>
        </w:numPr>
        <w:tabs>
          <w:tab w:val="left" w:pos="900"/>
          <w:tab w:val="left" w:pos="1276"/>
          <w:tab w:val="num" w:pos="1320"/>
          <w:tab w:val="left" w:pos="1701"/>
        </w:tabs>
        <w:spacing w:line="240" w:lineRule="exact"/>
        <w:ind w:left="1322"/>
        <w:rPr>
          <w:sz w:val="18"/>
        </w:rPr>
      </w:pPr>
      <w:r w:rsidRPr="00F90443">
        <w:rPr>
          <w:sz w:val="18"/>
        </w:rPr>
        <w:t xml:space="preserve">ondernemingen vallend onder de werkingssfeer van de CAO-en Metalektro; </w:t>
      </w:r>
    </w:p>
    <w:p w:rsidR="001D4B76" w:rsidRPr="00F90443" w:rsidRDefault="001D4B76" w:rsidP="001D4B76">
      <w:pPr>
        <w:numPr>
          <w:ilvl w:val="0"/>
          <w:numId w:val="3"/>
        </w:numPr>
        <w:tabs>
          <w:tab w:val="left" w:pos="900"/>
          <w:tab w:val="left" w:pos="1276"/>
          <w:tab w:val="num" w:pos="1320"/>
          <w:tab w:val="left" w:pos="1701"/>
        </w:tabs>
        <w:spacing w:line="240" w:lineRule="exact"/>
        <w:ind w:left="1320"/>
        <w:rPr>
          <w:sz w:val="18"/>
        </w:rPr>
      </w:pPr>
      <w:r w:rsidRPr="00F90443">
        <w:rPr>
          <w:sz w:val="18"/>
        </w:rPr>
        <w:t>ondernemingen vallend onder de werkingssfeer van de CAO voor het Metaalbewerkingsbedrijf.</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t>B.</w:t>
      </w:r>
      <w:r w:rsidRPr="00F90443">
        <w:rPr>
          <w:sz w:val="18"/>
        </w:rPr>
        <w:tab/>
        <w:t>1.</w:t>
      </w:r>
      <w:r w:rsidRPr="00F90443">
        <w:rPr>
          <w:sz w:val="18"/>
        </w:rPr>
        <w:tab/>
        <w:t xml:space="preserve">Op ondernemingen, waarin het bedrijf wordt uitgeoefend van de vervaardiging, het herstellen, assemblage, import en groothandel van </w:t>
      </w:r>
      <w:r w:rsidRPr="00F90443">
        <w:rPr>
          <w:sz w:val="18"/>
        </w:rPr>
        <w:lastRenderedPageBreak/>
        <w:t>emballage en pallets van hout of van kunststof, danwel van hetgeen binnen het kader van deze ondernemingen tot vervanging van hout of kunststof als grondstof dient, met uitzondering van de volgende ondernemingen:</w:t>
      </w:r>
    </w:p>
    <w:p w:rsidR="001D4B76" w:rsidRPr="00F90443" w:rsidRDefault="001D4B76" w:rsidP="001D4B76">
      <w:pPr>
        <w:tabs>
          <w:tab w:val="left" w:pos="426"/>
          <w:tab w:val="left" w:pos="851"/>
          <w:tab w:val="left" w:pos="1276"/>
          <w:tab w:val="left" w:pos="1701"/>
        </w:tabs>
        <w:spacing w:line="240" w:lineRule="exact"/>
        <w:ind w:left="1701" w:hanging="1701"/>
        <w:rPr>
          <w:sz w:val="18"/>
        </w:rPr>
      </w:pPr>
      <w:r w:rsidRPr="00F90443">
        <w:rPr>
          <w:sz w:val="18"/>
        </w:rPr>
        <w:tab/>
      </w:r>
      <w:r w:rsidRPr="00F90443">
        <w:rPr>
          <w:sz w:val="18"/>
        </w:rPr>
        <w:tab/>
      </w:r>
      <w:r w:rsidRPr="00F90443">
        <w:rPr>
          <w:sz w:val="18"/>
        </w:rPr>
        <w:tab/>
        <w:t>-</w:t>
      </w:r>
      <w:r w:rsidRPr="00F90443">
        <w:rPr>
          <w:sz w:val="18"/>
        </w:rPr>
        <w:tab/>
        <w:t>ondernemingen waarin hoofdzakelijk het bedrijf wordt uitgeoefend van de grafkistenindustrie;</w:t>
      </w:r>
    </w:p>
    <w:p w:rsidR="001D4B76" w:rsidRPr="00F90443" w:rsidRDefault="001D4B76" w:rsidP="001D4B76">
      <w:pPr>
        <w:tabs>
          <w:tab w:val="left" w:pos="426"/>
          <w:tab w:val="left" w:pos="851"/>
          <w:tab w:val="left" w:pos="1276"/>
          <w:tab w:val="left" w:pos="1701"/>
        </w:tabs>
        <w:spacing w:line="240" w:lineRule="exact"/>
        <w:ind w:left="1701" w:hanging="1701"/>
        <w:rPr>
          <w:sz w:val="18"/>
        </w:rPr>
      </w:pPr>
      <w:r w:rsidRPr="00F90443">
        <w:rPr>
          <w:sz w:val="18"/>
        </w:rPr>
        <w:tab/>
      </w:r>
      <w:r w:rsidRPr="00F90443">
        <w:rPr>
          <w:sz w:val="18"/>
        </w:rPr>
        <w:tab/>
      </w:r>
      <w:r w:rsidRPr="00F90443">
        <w:rPr>
          <w:sz w:val="18"/>
        </w:rPr>
        <w:tab/>
        <w:t>-</w:t>
      </w:r>
      <w:r w:rsidRPr="00F90443">
        <w:rPr>
          <w:sz w:val="18"/>
        </w:rPr>
        <w:tab/>
        <w:t>ondernemingen vallend onder de werkingssfeer van de CAO voor het Kartonnage- en Flexibele Verpakkingenbedrijf;</w:t>
      </w:r>
    </w:p>
    <w:p w:rsidR="001D4B76" w:rsidRPr="00F90443" w:rsidRDefault="001D4B76" w:rsidP="001D4B76">
      <w:pPr>
        <w:numPr>
          <w:ilvl w:val="0"/>
          <w:numId w:val="3"/>
        </w:numPr>
        <w:tabs>
          <w:tab w:val="left" w:pos="851"/>
          <w:tab w:val="num" w:pos="1701"/>
        </w:tabs>
        <w:spacing w:line="240" w:lineRule="exact"/>
        <w:ind w:left="1701" w:hanging="441"/>
        <w:rPr>
          <w:sz w:val="18"/>
        </w:rPr>
      </w:pPr>
      <w:r w:rsidRPr="00F90443">
        <w:rPr>
          <w:sz w:val="18"/>
        </w:rPr>
        <w:t>ondernemingen vallend onder de werkingssfeer van de CAO voor de Rubber- en Kunststoffenindustrie;</w:t>
      </w:r>
    </w:p>
    <w:p w:rsidR="001D4B76" w:rsidRPr="00F90443" w:rsidRDefault="001D4B76" w:rsidP="001D4B76">
      <w:pPr>
        <w:numPr>
          <w:ilvl w:val="0"/>
          <w:numId w:val="3"/>
        </w:numPr>
        <w:tabs>
          <w:tab w:val="left" w:pos="900"/>
          <w:tab w:val="num" w:pos="1701"/>
        </w:tabs>
        <w:spacing w:line="240" w:lineRule="exact"/>
        <w:ind w:left="1701" w:hanging="441"/>
        <w:rPr>
          <w:sz w:val="18"/>
        </w:rPr>
      </w:pPr>
      <w:r w:rsidRPr="00F90443">
        <w:rPr>
          <w:sz w:val="18"/>
        </w:rPr>
        <w:t xml:space="preserve">ondernemingen vallend onder de werkingssfeer van de CAO-en Metalektro;. </w:t>
      </w:r>
    </w:p>
    <w:p w:rsidR="001D4B76" w:rsidRPr="00F90443" w:rsidRDefault="001D4B76" w:rsidP="001D4B76">
      <w:pPr>
        <w:numPr>
          <w:ilvl w:val="0"/>
          <w:numId w:val="3"/>
        </w:numPr>
        <w:tabs>
          <w:tab w:val="left" w:pos="900"/>
          <w:tab w:val="left" w:pos="1276"/>
          <w:tab w:val="num" w:pos="1680"/>
        </w:tabs>
        <w:spacing w:line="240" w:lineRule="exact"/>
        <w:ind w:left="1680"/>
        <w:rPr>
          <w:sz w:val="18"/>
        </w:rPr>
      </w:pPr>
      <w:r w:rsidRPr="00F90443">
        <w:rPr>
          <w:sz w:val="18"/>
        </w:rPr>
        <w:t>ondernemingen vallend onder de werkingssfeer van de CAO voor het Metaalbewerkingsbedrijf.</w:t>
      </w:r>
    </w:p>
    <w:p w:rsidR="001D4B76" w:rsidRPr="00F90443" w:rsidRDefault="001D4B76" w:rsidP="001D4B76">
      <w:pPr>
        <w:tabs>
          <w:tab w:val="left" w:pos="426"/>
          <w:tab w:val="left" w:pos="851"/>
          <w:tab w:val="left" w:pos="1276"/>
          <w:tab w:val="left" w:pos="1701"/>
        </w:tabs>
        <w:spacing w:line="240" w:lineRule="exact"/>
        <w:ind w:left="1276" w:hanging="1276"/>
        <w:rPr>
          <w:sz w:val="18"/>
        </w:rPr>
      </w:pPr>
      <w:r w:rsidRPr="00F90443">
        <w:rPr>
          <w:sz w:val="18"/>
        </w:rPr>
        <w:tab/>
      </w:r>
      <w:r w:rsidRPr="00F90443">
        <w:rPr>
          <w:sz w:val="18"/>
        </w:rPr>
        <w:tab/>
        <w:t>2.</w:t>
      </w:r>
      <w:r w:rsidRPr="00F90443">
        <w:rPr>
          <w:sz w:val="18"/>
        </w:rPr>
        <w:tab/>
        <w:t>Op ondernemingen en/of afdelingen van een onderneming waarin het bedrijf wordt uitgeoefend van de vervaardiging, het herstellen, assemblage, import en groothandel van houten draag- en/of sierklompen en/of van houten sandalen.</w:t>
      </w:r>
    </w:p>
    <w:p w:rsidR="001D4B76" w:rsidRPr="00F90443" w:rsidRDefault="001D4B76" w:rsidP="001D4B76">
      <w:pPr>
        <w:tabs>
          <w:tab w:val="left" w:pos="426"/>
          <w:tab w:val="left" w:pos="851"/>
          <w:tab w:val="left" w:pos="1276"/>
          <w:tab w:val="left" w:pos="1701"/>
        </w:tabs>
        <w:spacing w:line="240" w:lineRule="exact"/>
        <w:ind w:left="851" w:hanging="851"/>
        <w:rPr>
          <w:sz w:val="18"/>
        </w:rPr>
      </w:pPr>
      <w:r w:rsidRPr="00F90443">
        <w:rPr>
          <w:sz w:val="18"/>
        </w:rPr>
        <w:tab/>
        <w:t>C.</w:t>
      </w:r>
      <w:r w:rsidRPr="00F90443">
        <w:rPr>
          <w:sz w:val="18"/>
        </w:rPr>
        <w:tab/>
        <w:t>Op ondernemingen waarin het bedrijf wordt uitgeoefend van de vervaardiging, assemblage, groothandel en import van borstels, kwasten, borstelvezels en borstelhaar van de borstel- en kwastenindustrie en/of -assemblage en het borstelvezel- en haarbereidingsbedrijf.</w:t>
      </w:r>
    </w:p>
    <w:p w:rsidR="001D4B76" w:rsidRPr="00F90443" w:rsidRDefault="001D4B76" w:rsidP="001D4B76">
      <w:pPr>
        <w:tabs>
          <w:tab w:val="left" w:pos="426"/>
          <w:tab w:val="left" w:pos="851"/>
          <w:tab w:val="left" w:pos="1276"/>
          <w:tab w:val="left" w:pos="1701"/>
        </w:tabs>
        <w:spacing w:line="240" w:lineRule="exact"/>
        <w:ind w:left="851" w:hanging="851"/>
        <w:rPr>
          <w:sz w:val="18"/>
        </w:rPr>
      </w:pPr>
      <w:r w:rsidRPr="00F90443">
        <w:rPr>
          <w:sz w:val="18"/>
        </w:rPr>
        <w:tab/>
        <w:t>D.</w:t>
      </w:r>
      <w:r w:rsidRPr="00F90443">
        <w:rPr>
          <w:sz w:val="18"/>
        </w:rPr>
        <w:tab/>
        <w:t>Op ondernemingen, waarin het bedrijf wordt uitgeoefend van het vervaardigen en/of assembleren van geheel of gedeeltelijk houten vaten, kuipwerk en/of bakken - niet dienende voor verpakking - en aanverwante technische houtwaren, ook als deze artikelen binnen het kader van deze ondernemingen van een andere grondstof dan van hout vervaardigd zijn.</w:t>
      </w:r>
    </w:p>
    <w:p w:rsidR="001D4B76" w:rsidRPr="00D46D27" w:rsidRDefault="001D4B76" w:rsidP="001D4B76">
      <w:pPr>
        <w:tabs>
          <w:tab w:val="left" w:pos="426"/>
          <w:tab w:val="left" w:pos="851"/>
          <w:tab w:val="left" w:pos="1276"/>
          <w:tab w:val="left" w:pos="1701"/>
        </w:tabs>
        <w:spacing w:line="240" w:lineRule="exact"/>
        <w:ind w:left="851" w:hanging="851"/>
        <w:rPr>
          <w:sz w:val="18"/>
        </w:rPr>
      </w:pPr>
      <w:r w:rsidRPr="00D46D27">
        <w:rPr>
          <w:sz w:val="18"/>
        </w:rPr>
        <w:tab/>
        <w:t>E.</w:t>
      </w:r>
      <w:r w:rsidRPr="00D46D27">
        <w:rPr>
          <w:sz w:val="18"/>
        </w:rPr>
        <w:tab/>
        <w:t>Op ondernemingen, die een aanverwant bedrijf uitoefenen, en met partijen bij deze CAO een overeenkomst hebben gesloten dat zij deze CAO zullen toepassen en zullen deelnemen aan het Sociaal Fonds.</w:t>
      </w:r>
    </w:p>
    <w:p w:rsidR="001D4B76" w:rsidRPr="00F90443" w:rsidRDefault="001D4B76" w:rsidP="001D4B76">
      <w:pPr>
        <w:tabs>
          <w:tab w:val="left" w:pos="426"/>
          <w:tab w:val="left" w:pos="851"/>
          <w:tab w:val="left" w:pos="1276"/>
          <w:tab w:val="left" w:pos="1701"/>
        </w:tabs>
        <w:spacing w:line="240" w:lineRule="exact"/>
        <w:ind w:left="426" w:hanging="426"/>
        <w:rPr>
          <w:sz w:val="18"/>
        </w:rPr>
      </w:pPr>
      <w:r w:rsidRPr="00A55785">
        <w:rPr>
          <w:sz w:val="18"/>
        </w:rPr>
        <w:t>2.</w:t>
      </w:r>
      <w:r w:rsidRPr="00A55785">
        <w:rPr>
          <w:sz w:val="18"/>
        </w:rPr>
        <w:tab/>
        <w:t>Deze CAO geldt niet voor ondernemingen waarvoor een afzonderlijke CAO regelende</w:t>
      </w:r>
      <w:r w:rsidRPr="00F90443">
        <w:rPr>
          <w:sz w:val="18"/>
        </w:rPr>
        <w:t xml:space="preserve"> arbeidsvoorwaarden van kracht is, welke is geregistreerd bij de Directie Uitvoeringstaken Arbeidsvoorwaardenwetgeving van het Ministerie van Sociale Zaken en Werkgelegenheid.</w:t>
      </w:r>
    </w:p>
    <w:p w:rsidR="001D4B76" w:rsidRPr="00F90443" w:rsidRDefault="001D4B76" w:rsidP="001D4B76">
      <w:pPr>
        <w:pStyle w:val="Plattetekstinspringen3"/>
        <w:tabs>
          <w:tab w:val="left" w:pos="851"/>
          <w:tab w:val="left" w:pos="1276"/>
          <w:tab w:val="left" w:pos="1701"/>
        </w:tabs>
        <w:spacing w:line="240" w:lineRule="exact"/>
      </w:pPr>
      <w:r>
        <w:t>3</w:t>
      </w:r>
      <w:r w:rsidRPr="00F90443">
        <w:t>.</w:t>
      </w:r>
      <w:r w:rsidRPr="00F90443">
        <w:tab/>
        <w:t>Deze CAO geldt eveneens niet voor afdelingen van ondernemingen, die vallen onder een andere algemeen-verbindendverklaarde CAO.</w:t>
      </w:r>
    </w:p>
    <w:p w:rsidR="001D4B76" w:rsidRDefault="001D4B76" w:rsidP="001D4B76">
      <w:pPr>
        <w:pStyle w:val="Plattetekstinspringen3"/>
        <w:spacing w:line="240" w:lineRule="exact"/>
      </w:pPr>
      <w:r>
        <w:t>4</w:t>
      </w:r>
      <w:r w:rsidRPr="00F90443">
        <w:t>.</w:t>
      </w:r>
      <w:r w:rsidRPr="00F90443">
        <w:tab/>
        <w:t xml:space="preserve">Deze CAO geldt niet voor Bruynzeel Potlodenfabriek te </w:t>
      </w:r>
      <w:r w:rsidRPr="004B5F49">
        <w:rPr>
          <w:i/>
        </w:rPr>
        <w:t>Bergen op Zoom</w:t>
      </w:r>
      <w:r w:rsidRPr="00F90443">
        <w:t xml:space="preserve"> </w:t>
      </w:r>
    </w:p>
    <w:p w:rsidR="001D4B76" w:rsidRPr="00A640C3" w:rsidRDefault="001D4B76" w:rsidP="001D4B76">
      <w:pPr>
        <w:tabs>
          <w:tab w:val="left" w:pos="426"/>
          <w:tab w:val="left" w:pos="851"/>
          <w:tab w:val="left" w:pos="1276"/>
          <w:tab w:val="left" w:pos="1701"/>
        </w:tabs>
        <w:spacing w:line="240" w:lineRule="exact"/>
        <w:ind w:left="426" w:hanging="426"/>
        <w:rPr>
          <w:sz w:val="18"/>
        </w:rPr>
      </w:pPr>
      <w:r>
        <w:rPr>
          <w:sz w:val="18"/>
        </w:rPr>
        <w:t>5.</w:t>
      </w:r>
      <w:r>
        <w:rPr>
          <w:sz w:val="18"/>
        </w:rPr>
        <w:tab/>
        <w:t xml:space="preserve"> </w:t>
      </w:r>
      <w:r w:rsidRPr="00A640C3">
        <w:rPr>
          <w:sz w:val="18"/>
        </w:rPr>
        <w:t>Deze CAO geldt voor werknemers die in dienstbetrekking staan tot een onderneming als bedoeld in lid 1.</w:t>
      </w:r>
    </w:p>
    <w:p w:rsidR="001D4B76" w:rsidRPr="00F90443" w:rsidRDefault="001D4B76" w:rsidP="001D4B76">
      <w:pPr>
        <w:pStyle w:val="Plattetekstinspringen3"/>
        <w:spacing w:line="240" w:lineRule="exact"/>
      </w:pPr>
    </w:p>
    <w:p w:rsidR="001D4B76" w:rsidRPr="00F90443" w:rsidRDefault="001D4B76" w:rsidP="001D4B76">
      <w:pPr>
        <w:pStyle w:val="Plattetekstinspringen3"/>
        <w:spacing w:line="240" w:lineRule="exact"/>
        <w:ind w:left="0" w:firstLine="0"/>
      </w:pPr>
    </w:p>
    <w:p w:rsidR="001D4B76" w:rsidRPr="00F90443" w:rsidRDefault="001D4B76" w:rsidP="001D4B76">
      <w:pPr>
        <w:pStyle w:val="Plattetekstinspringen3"/>
        <w:spacing w:line="240" w:lineRule="exact"/>
        <w:ind w:left="0" w:firstLine="0"/>
        <w:jc w:val="center"/>
        <w:rPr>
          <w:b/>
        </w:rPr>
      </w:pPr>
      <w:r w:rsidRPr="00F90443">
        <w:rPr>
          <w:b/>
        </w:rPr>
        <w:t>Artikel 2</w:t>
      </w:r>
    </w:p>
    <w:p w:rsidR="001D4B76" w:rsidRPr="00F90443" w:rsidRDefault="001D4B76" w:rsidP="001D4B76">
      <w:pPr>
        <w:pStyle w:val="Plattetekstinspringen3"/>
        <w:spacing w:line="240" w:lineRule="exact"/>
        <w:ind w:left="0" w:firstLine="0"/>
        <w:jc w:val="center"/>
        <w:rPr>
          <w:b/>
        </w:rPr>
      </w:pPr>
      <w:r w:rsidRPr="00F90443">
        <w:rPr>
          <w:b/>
        </w:rPr>
        <w:t>Aanspraak</w:t>
      </w:r>
    </w:p>
    <w:p w:rsidR="001D4B76" w:rsidRPr="00F90443" w:rsidRDefault="001D4B76" w:rsidP="001D4B76">
      <w:pPr>
        <w:pStyle w:val="Plattetekstinspringen3"/>
        <w:spacing w:line="240" w:lineRule="exact"/>
        <w:ind w:left="0" w:firstLine="0"/>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In het kader van de overgang van het afschaffen van de vroegpensioenregeling per 1 januari 2006, is een garantieregeling vastgesteld. Deze regeling houdt in dat onder de voorwaarden zoals geformuleerd in dit artikel een aanvulling gegeven wordt op het vervroegde ouderdomspensioen.</w:t>
      </w:r>
    </w:p>
    <w:p w:rsidR="001D4B76" w:rsidRPr="00F90443" w:rsidRDefault="001D4B76" w:rsidP="001D4B76">
      <w:pPr>
        <w:tabs>
          <w:tab w:val="left" w:pos="284"/>
        </w:tabs>
        <w:spacing w:line="240" w:lineRule="exact"/>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Aanspraak op deze garantieregeling kan maken een werknemer die:</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 xml:space="preserve">geboren is na 30 juni 1944 en voor 1 </w:t>
      </w:r>
      <w:r>
        <w:rPr>
          <w:rFonts w:cs="Arial"/>
          <w:sz w:val="18"/>
          <w:szCs w:val="18"/>
        </w:rPr>
        <w:t>januari 1950</w:t>
      </w:r>
      <w:r w:rsidRPr="00F90443">
        <w:rPr>
          <w:rFonts w:cs="Arial"/>
          <w:sz w:val="18"/>
          <w:szCs w:val="18"/>
        </w:rPr>
        <w:t>;</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op 31 december 1999 werknemer was in de zin van artikel 1 lid 2 van deze CAO;</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lastRenderedPageBreak/>
        <w:t>gedurende de laatste 10 jaar voorafgaand aan het ingaan van het vervroegde ouderdomspensioen werkzaam is geweest als werknemer in de zin van artikel 1 lid 2 van deze CAO;</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niet arbeidsongeschikt is met een arbeidsongeschiktheidspercentage van 80-100%.</w:t>
      </w:r>
    </w:p>
    <w:p w:rsidR="001D4B76" w:rsidRPr="00F90443" w:rsidRDefault="001D4B76" w:rsidP="001D4B76">
      <w:pPr>
        <w:tabs>
          <w:tab w:val="left" w:pos="284"/>
        </w:tabs>
        <w:spacing w:line="240" w:lineRule="exact"/>
        <w:ind w:left="284"/>
        <w:rPr>
          <w:rFonts w:cs="Arial"/>
          <w:sz w:val="18"/>
          <w:szCs w:val="18"/>
        </w:rPr>
      </w:pPr>
      <w:r w:rsidRPr="00F90443">
        <w:rPr>
          <w:rFonts w:cs="Arial"/>
          <w:sz w:val="18"/>
          <w:szCs w:val="18"/>
        </w:rPr>
        <w:t>De garantie-uitkering kan alleen ingaan tegelijkertijd met het vervroegde ouderdomspensioen.</w:t>
      </w:r>
    </w:p>
    <w:p w:rsidR="001D4B76" w:rsidRPr="00F90443" w:rsidRDefault="001D4B76" w:rsidP="001D4B76">
      <w:pPr>
        <w:tabs>
          <w:tab w:val="left" w:pos="284"/>
        </w:tabs>
        <w:spacing w:line="240" w:lineRule="exact"/>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Een werknemer die op 31 december 1999 arbeidsongeschikt was met een arbeidsongeschiktheidspercentage van 80-100% en die na die datum is gerevalideerd en werknemer is in de zin van artikel 1 lid 2 van deze CAO, kan alsnog aanspraak maken op de garantieregeling zoals geformuleerd in dit artikel.</w:t>
      </w:r>
    </w:p>
    <w:p w:rsidR="001D4B76" w:rsidRPr="00F90443" w:rsidRDefault="001D4B76" w:rsidP="001D4B76">
      <w:pPr>
        <w:tabs>
          <w:tab w:val="left" w:pos="284"/>
        </w:tabs>
        <w:spacing w:line="240" w:lineRule="exact"/>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De garantieregeling voorziet in een uitkering op:</w:t>
      </w:r>
    </w:p>
    <w:p w:rsidR="001D4B76" w:rsidRPr="00F90443" w:rsidRDefault="001D4B76" w:rsidP="001D4B76">
      <w:pPr>
        <w:numPr>
          <w:ilvl w:val="1"/>
          <w:numId w:val="4"/>
        </w:numPr>
        <w:tabs>
          <w:tab w:val="left" w:pos="567"/>
        </w:tabs>
        <w:spacing w:line="240" w:lineRule="exact"/>
        <w:ind w:left="567" w:hanging="283"/>
        <w:rPr>
          <w:rFonts w:cs="Arial"/>
          <w:sz w:val="18"/>
          <w:szCs w:val="18"/>
        </w:rPr>
      </w:pPr>
      <w:r w:rsidRPr="00F90443">
        <w:rPr>
          <w:rFonts w:cs="Arial"/>
          <w:sz w:val="18"/>
          <w:szCs w:val="18"/>
        </w:rPr>
        <w:t>60,5-jarige leeftijd voor de werknemers geboren vóór 1947;</w:t>
      </w:r>
    </w:p>
    <w:p w:rsidR="001D4B76" w:rsidRPr="00F90443" w:rsidRDefault="001D4B76" w:rsidP="001D4B76">
      <w:pPr>
        <w:numPr>
          <w:ilvl w:val="1"/>
          <w:numId w:val="4"/>
        </w:numPr>
        <w:tabs>
          <w:tab w:val="left" w:pos="567"/>
        </w:tabs>
        <w:spacing w:line="240" w:lineRule="exact"/>
        <w:ind w:left="567" w:hanging="283"/>
        <w:rPr>
          <w:rFonts w:cs="Arial"/>
          <w:sz w:val="18"/>
          <w:szCs w:val="18"/>
        </w:rPr>
      </w:pPr>
      <w:r w:rsidRPr="00F90443">
        <w:rPr>
          <w:rFonts w:cs="Arial"/>
          <w:sz w:val="18"/>
          <w:szCs w:val="18"/>
        </w:rPr>
        <w:t>61-jarige leeftijd voor de werknemers geboren in 1947;</w:t>
      </w:r>
    </w:p>
    <w:p w:rsidR="001D4B76" w:rsidRPr="00F90443" w:rsidRDefault="001D4B76" w:rsidP="001D4B76">
      <w:pPr>
        <w:numPr>
          <w:ilvl w:val="1"/>
          <w:numId w:val="4"/>
        </w:numPr>
        <w:tabs>
          <w:tab w:val="left" w:pos="567"/>
        </w:tabs>
        <w:spacing w:line="240" w:lineRule="exact"/>
        <w:ind w:left="567" w:hanging="283"/>
        <w:rPr>
          <w:rFonts w:cs="Arial"/>
          <w:sz w:val="18"/>
          <w:szCs w:val="18"/>
        </w:rPr>
      </w:pPr>
      <w:r w:rsidRPr="00F90443">
        <w:rPr>
          <w:rFonts w:cs="Arial"/>
          <w:sz w:val="18"/>
          <w:szCs w:val="18"/>
        </w:rPr>
        <w:t>61,5-jarige leeftijd voor de werknemers geboren in 1948 tot en met 3</w:t>
      </w:r>
      <w:r>
        <w:rPr>
          <w:rFonts w:cs="Arial"/>
          <w:sz w:val="18"/>
          <w:szCs w:val="18"/>
        </w:rPr>
        <w:t xml:space="preserve">1 december </w:t>
      </w:r>
      <w:r w:rsidRPr="00F90443">
        <w:rPr>
          <w:rFonts w:cs="Arial"/>
          <w:sz w:val="18"/>
          <w:szCs w:val="18"/>
        </w:rPr>
        <w:t>1949.</w:t>
      </w:r>
    </w:p>
    <w:p w:rsidR="001D4B76" w:rsidRPr="00F90443" w:rsidRDefault="001D4B76" w:rsidP="001D4B76">
      <w:pPr>
        <w:tabs>
          <w:tab w:val="left" w:pos="567"/>
        </w:tabs>
        <w:spacing w:line="240" w:lineRule="exact"/>
        <w:ind w:left="284"/>
        <w:rPr>
          <w:rFonts w:cs="Arial"/>
          <w:sz w:val="18"/>
          <w:szCs w:val="18"/>
        </w:rPr>
      </w:pPr>
      <w:r w:rsidRPr="00F90443">
        <w:rPr>
          <w:rFonts w:cs="Arial"/>
          <w:sz w:val="18"/>
          <w:szCs w:val="18"/>
        </w:rPr>
        <w:t>Als op de aangegeven leeftijd de werknemer nog niet heeft voldaan aan de vereisten uit het tweede lid, ontstaat het recht op de garantie-uitkering op enig moment tussen de 60,5-jarige en de 65-jarige leeftijd waarop wel aan die vereisten wordt voldaan. De garantie-uitkering eindigt op 65-jarige leeftijd of bij eerder overlijden.</w:t>
      </w:r>
    </w:p>
    <w:p w:rsidR="001D4B76" w:rsidRPr="00F90443" w:rsidRDefault="001D4B76" w:rsidP="001D4B76">
      <w:pPr>
        <w:tabs>
          <w:tab w:val="left" w:pos="284"/>
        </w:tabs>
        <w:spacing w:line="240" w:lineRule="exact"/>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De garantie-uitkering bedraagt 70% van</w:t>
      </w:r>
      <w:r w:rsidRPr="00F90443">
        <w:rPr>
          <w:rFonts w:cs="Arial"/>
          <w:b/>
          <w:sz w:val="18"/>
          <w:szCs w:val="18"/>
        </w:rPr>
        <w:t xml:space="preserve"> </w:t>
      </w:r>
      <w:r w:rsidRPr="00F90443">
        <w:rPr>
          <w:rFonts w:cs="Arial"/>
          <w:sz w:val="18"/>
          <w:szCs w:val="18"/>
        </w:rPr>
        <w:t>het gemiddelde salaris over de vijf jaar voorafgaand aan de in lid 4 aangegeven leeftijd, dan wel aan de andere leeftijd waarop het ouderdomspensioen eerder of later ingaat ten opzichte van deze leeftijd, onder aftrek van een uitkering tussen de in lid 4 aangegeven leeftijd en de 65-jarige leeftijd, die gebaseerd wordt op het extra ouderdoms- en nabestaandenpensioen dat verworven is op grond van het pensioenreglement 2006 van de Stichting Bedrijfstakpensioenfonds voor de Houtverwerkende Industrie. Het gaat om extra ouderdoms- en nabestaandenpensioen dat:</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verkregen is, of geacht wordt verkregen te zijn, door uitruil van het voor 2006 opgebouwde vroegpensioen;</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vanaf 2006 opgebouwd is, voor zover dit meer bedraagt dan het ouderdoms- en nabestaandenpensioen dat opgebouwd zou zijn op grond van het tot en met 2005 geldende pensioenreglement;</w:t>
      </w:r>
    </w:p>
    <w:p w:rsidR="001D4B76" w:rsidRPr="00F90443" w:rsidRDefault="001D4B76" w:rsidP="001D4B76">
      <w:pPr>
        <w:numPr>
          <w:ilvl w:val="1"/>
          <w:numId w:val="4"/>
        </w:numPr>
        <w:tabs>
          <w:tab w:val="left" w:pos="284"/>
          <w:tab w:val="num" w:pos="567"/>
        </w:tabs>
        <w:spacing w:line="240" w:lineRule="exact"/>
        <w:ind w:left="567" w:hanging="283"/>
        <w:rPr>
          <w:rFonts w:cs="Arial"/>
          <w:sz w:val="18"/>
          <w:szCs w:val="18"/>
        </w:rPr>
      </w:pPr>
      <w:r w:rsidRPr="00F90443">
        <w:rPr>
          <w:rFonts w:cs="Arial"/>
          <w:sz w:val="18"/>
          <w:szCs w:val="18"/>
        </w:rPr>
        <w:t>verkregen is door inkoop van ouderdoms- en nabestaandenpensioen over een of meer perioden gelegen vóór 2006 overeenkomstig het pensioenreglement 2006 van de Stichting Bedrijfstakpensioenfonds voor de Houtverwerkende Industrie.</w:t>
      </w:r>
    </w:p>
    <w:p w:rsidR="001D4B76" w:rsidRPr="00F90443" w:rsidRDefault="001D4B76" w:rsidP="001D4B76">
      <w:pPr>
        <w:tabs>
          <w:tab w:val="left" w:pos="284"/>
        </w:tabs>
        <w:spacing w:line="240" w:lineRule="exact"/>
        <w:ind w:left="284"/>
        <w:rPr>
          <w:rFonts w:cs="Arial"/>
          <w:sz w:val="18"/>
          <w:szCs w:val="18"/>
        </w:rPr>
      </w:pPr>
      <w:r w:rsidRPr="00F90443">
        <w:rPr>
          <w:rFonts w:cs="Arial"/>
          <w:sz w:val="18"/>
          <w:szCs w:val="18"/>
        </w:rPr>
        <w:t>Als de werknemer tot het ingaan van het vervroegde ouderdoms</w:t>
      </w:r>
      <w:r>
        <w:rPr>
          <w:rFonts w:cs="Arial"/>
          <w:sz w:val="18"/>
          <w:szCs w:val="18"/>
        </w:rPr>
        <w:t>-</w:t>
      </w:r>
      <w:r w:rsidRPr="00F90443">
        <w:rPr>
          <w:rFonts w:cs="Arial"/>
          <w:sz w:val="18"/>
          <w:szCs w:val="18"/>
        </w:rPr>
        <w:t xml:space="preserve">pensioen werkzaam is geweest bij een werkgever die vrijgesteld is van de verplichtstelling van de Stichting Bedrijfstakpensioenfonds voor de Houtverwerkende Industrie, wordt de garantie-uitkering vastgesteld overeenkomstig het hiervoor bepaalde, maar zal niet hoger zijn dan wanneer geen vrijstelling gegolden zou hebben.  </w:t>
      </w:r>
    </w:p>
    <w:p w:rsidR="001D4B76" w:rsidRPr="00F90443" w:rsidRDefault="001D4B76" w:rsidP="001D4B76">
      <w:pPr>
        <w:tabs>
          <w:tab w:val="left" w:pos="284"/>
        </w:tabs>
        <w:spacing w:line="240" w:lineRule="exact"/>
        <w:ind w:left="360"/>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 xml:space="preserve">Onder salaris zoals bedoeld in lid 5 wordt verstaan 12 maal het vaste bruto basissalaris per maand verhoogd met 8% ter zake van vakantietoeslag, met inbegrip van eventuele vaste toeslagen. Onder vaste toeslagen worden verstaan de in de bedrijfstak gebruikelijke ploegentoeslag, EHBO-toeslag, diplomatoeslag voor een VEV-diploma of een vakexamendiploma van de stichting Hout, toeslagen voor overwerk volgens een vast rooster, meerverdiensten uit hoofde van een tarief en waarderingsbeloning, </w:t>
      </w:r>
      <w:r w:rsidRPr="00F90443">
        <w:rPr>
          <w:rFonts w:cs="Arial"/>
          <w:sz w:val="18"/>
          <w:szCs w:val="18"/>
        </w:rPr>
        <w:lastRenderedPageBreak/>
        <w:t>toeslagen voor nachtarbeid, gratificaties, winstdelingsuitkeringen en andere emolumenten die een vast loonbestanddeel betreffen.</w:t>
      </w:r>
    </w:p>
    <w:p w:rsidR="001D4B76" w:rsidRPr="00F90443" w:rsidRDefault="001D4B76" w:rsidP="001D4B76">
      <w:pPr>
        <w:tabs>
          <w:tab w:val="left" w:pos="284"/>
        </w:tabs>
        <w:spacing w:line="240" w:lineRule="exact"/>
        <w:rPr>
          <w:rFonts w:cs="Arial"/>
          <w:sz w:val="18"/>
          <w:szCs w:val="18"/>
        </w:rPr>
      </w:pPr>
    </w:p>
    <w:p w:rsidR="001D4B76" w:rsidRPr="00F90443" w:rsidRDefault="001D4B76" w:rsidP="001D4B76">
      <w:pPr>
        <w:numPr>
          <w:ilvl w:val="0"/>
          <w:numId w:val="4"/>
        </w:numPr>
        <w:tabs>
          <w:tab w:val="left" w:pos="284"/>
        </w:tabs>
        <w:spacing w:line="240" w:lineRule="exact"/>
        <w:ind w:left="284" w:hanging="284"/>
        <w:rPr>
          <w:rFonts w:cs="Arial"/>
          <w:sz w:val="18"/>
          <w:szCs w:val="18"/>
        </w:rPr>
      </w:pPr>
      <w:r w:rsidRPr="00F90443">
        <w:rPr>
          <w:rFonts w:cs="Arial"/>
          <w:sz w:val="18"/>
          <w:szCs w:val="18"/>
        </w:rPr>
        <w:t>Het salaris zoals bedo</w:t>
      </w:r>
      <w:r>
        <w:rPr>
          <w:rFonts w:cs="Arial"/>
          <w:sz w:val="18"/>
          <w:szCs w:val="18"/>
        </w:rPr>
        <w:t>eld in lid 5 is gemaximeerd (2013</w:t>
      </w:r>
      <w:r w:rsidRPr="00F90443">
        <w:rPr>
          <w:rFonts w:cs="Arial"/>
          <w:sz w:val="18"/>
          <w:szCs w:val="18"/>
        </w:rPr>
        <w:t xml:space="preserve">: </w:t>
      </w:r>
      <w:r w:rsidRPr="00412F8A">
        <w:rPr>
          <w:rFonts w:cs="Arial"/>
          <w:sz w:val="18"/>
          <w:szCs w:val="18"/>
        </w:rPr>
        <w:t xml:space="preserve">€  </w:t>
      </w:r>
      <w:r w:rsidRPr="007459B1">
        <w:rPr>
          <w:rFonts w:cs="Arial"/>
          <w:sz w:val="18"/>
          <w:szCs w:val="18"/>
        </w:rPr>
        <w:t>61.548,39</w:t>
      </w:r>
      <w:r w:rsidRPr="007459B1">
        <w:rPr>
          <w:rFonts w:cs="Arial"/>
          <w:b/>
          <w:sz w:val="18"/>
          <w:szCs w:val="18"/>
        </w:rPr>
        <w:t>)</w:t>
      </w:r>
      <w:r w:rsidRPr="007459B1">
        <w:rPr>
          <w:rFonts w:cs="Arial"/>
          <w:sz w:val="18"/>
          <w:szCs w:val="18"/>
        </w:rPr>
        <w:t>.</w:t>
      </w:r>
      <w:r w:rsidRPr="00F90443">
        <w:rPr>
          <w:rFonts w:cs="Arial"/>
          <w:sz w:val="18"/>
          <w:szCs w:val="18"/>
        </w:rPr>
        <w:t xml:space="preserve"> Dit maximum wordt jaarlijks verhoogd met de loonontwikkeling in de bedrijfstak. Deze verhoging vindt jaarlijks per 1 januari plaats (voor het eerst op 1 januari 2006) en wel met het percentage waarmee de lonen op 1 oktober van het laatstverstreken kalenderjaar zijn gestegen ten opzichte van 1 oktober van het daaraan voorafgaande kalenderjaar. Dit percentage wordt door of namens CAO-partijen bij de CAO </w:t>
      </w:r>
      <w:r>
        <w:rPr>
          <w:sz w:val="18"/>
        </w:rPr>
        <w:t xml:space="preserve">Garantie-regeling vervroegd uittreden </w:t>
      </w:r>
      <w:r w:rsidRPr="00F90443">
        <w:rPr>
          <w:rFonts w:cs="Arial"/>
          <w:sz w:val="18"/>
          <w:szCs w:val="18"/>
        </w:rPr>
        <w:t>voor de Houtverwerkende Industrie bepaald.</w:t>
      </w:r>
    </w:p>
    <w:p w:rsidR="001D4B76" w:rsidRPr="00F90443" w:rsidRDefault="001D4B76" w:rsidP="001D4B76">
      <w:pPr>
        <w:pStyle w:val="Plattetekstinspringen3"/>
        <w:spacing w:line="240" w:lineRule="exact"/>
        <w:ind w:left="0" w:firstLine="0"/>
      </w:pPr>
    </w:p>
    <w:p w:rsidR="001D4B76" w:rsidRPr="00F90443" w:rsidRDefault="001D4B76" w:rsidP="001D4B76">
      <w:pPr>
        <w:pStyle w:val="Plattetekstinspringen3"/>
        <w:spacing w:line="240" w:lineRule="exact"/>
        <w:rPr>
          <w:b/>
        </w:rPr>
      </w:pPr>
      <w:bookmarkStart w:id="0" w:name="o6"/>
    </w:p>
    <w:p w:rsidR="001D4B76" w:rsidRPr="00F90443" w:rsidRDefault="001D4B76" w:rsidP="001D4B76">
      <w:pPr>
        <w:pStyle w:val="Plattetekstinspringen3"/>
        <w:spacing w:line="240" w:lineRule="exact"/>
        <w:jc w:val="center"/>
        <w:rPr>
          <w:b/>
        </w:rPr>
      </w:pPr>
      <w:r w:rsidRPr="00F90443">
        <w:rPr>
          <w:b/>
        </w:rPr>
        <w:t>Artikel 3</w:t>
      </w:r>
    </w:p>
    <w:p w:rsidR="001D4B76" w:rsidRPr="00F90443" w:rsidRDefault="001D4B76" w:rsidP="001D4B76">
      <w:pPr>
        <w:spacing w:line="240" w:lineRule="exact"/>
        <w:jc w:val="center"/>
        <w:rPr>
          <w:b/>
        </w:rPr>
      </w:pPr>
      <w:r w:rsidRPr="00F90443">
        <w:rPr>
          <w:b/>
          <w:sz w:val="18"/>
        </w:rPr>
        <w:t>Keuzemogelijkheden</w:t>
      </w:r>
      <w:bookmarkEnd w:id="0"/>
    </w:p>
    <w:p w:rsidR="001D4B76" w:rsidRPr="00F90443" w:rsidRDefault="001D4B76" w:rsidP="001D4B76">
      <w:pPr>
        <w:spacing w:line="240" w:lineRule="exact"/>
        <w:ind w:left="425" w:hanging="425"/>
      </w:pPr>
    </w:p>
    <w:p w:rsidR="001D4B76" w:rsidRPr="00F90443" w:rsidRDefault="001D4B76" w:rsidP="001D4B76">
      <w:pPr>
        <w:keepNext/>
        <w:keepLines/>
        <w:numPr>
          <w:ilvl w:val="0"/>
          <w:numId w:val="5"/>
        </w:numPr>
        <w:spacing w:line="240" w:lineRule="exact"/>
        <w:rPr>
          <w:rFonts w:cs="Arial"/>
          <w:sz w:val="18"/>
          <w:szCs w:val="18"/>
        </w:rPr>
      </w:pPr>
      <w:r w:rsidRPr="00F90443">
        <w:rPr>
          <w:rFonts w:cs="Arial"/>
          <w:sz w:val="18"/>
          <w:szCs w:val="18"/>
        </w:rPr>
        <w:t>Volledig vervroegen van de garantie-uitkering</w:t>
      </w:r>
    </w:p>
    <w:p w:rsidR="001D4B76" w:rsidRPr="00F90443" w:rsidRDefault="001D4B76" w:rsidP="001D4B76">
      <w:pPr>
        <w:keepLines/>
        <w:spacing w:line="240" w:lineRule="exact"/>
        <w:ind w:left="360"/>
        <w:rPr>
          <w:rFonts w:cs="Arial"/>
          <w:sz w:val="18"/>
          <w:szCs w:val="18"/>
        </w:rPr>
      </w:pPr>
      <w:r w:rsidRPr="00F90443">
        <w:rPr>
          <w:rFonts w:cs="Arial"/>
          <w:sz w:val="18"/>
          <w:szCs w:val="18"/>
        </w:rPr>
        <w:t>De werknemer kan de garantie-uitkering eerder dan op de in artikel 2, lid 4, aangegeven leeftijd laten ingaan, maar niet eerder dan op 60-jarige leeftijd, op het moment dat hij stopt met werken. Het vervroegen van de garantie-uitkering is uitsluitend mogelijk in combinatie met een overeenkomstige verdere vervroeging van het ouderdomspensioen ten opzichte van de in artikel 2, lid 4, aangegeven leeftijd.</w:t>
      </w:r>
    </w:p>
    <w:p w:rsidR="001D4B76" w:rsidRPr="00F90443" w:rsidRDefault="001D4B76" w:rsidP="001D4B76">
      <w:pPr>
        <w:pStyle w:val="Voettekst"/>
        <w:spacing w:line="240" w:lineRule="exact"/>
        <w:rPr>
          <w:rFonts w:ascii="Arial" w:hAnsi="Arial" w:cs="Arial"/>
          <w:sz w:val="18"/>
          <w:szCs w:val="18"/>
        </w:rPr>
      </w:pPr>
    </w:p>
    <w:p w:rsidR="001D4B76" w:rsidRPr="00F90443" w:rsidRDefault="001D4B76" w:rsidP="001D4B76">
      <w:pPr>
        <w:keepNext/>
        <w:keepLines/>
        <w:numPr>
          <w:ilvl w:val="0"/>
          <w:numId w:val="5"/>
        </w:numPr>
        <w:spacing w:line="240" w:lineRule="exact"/>
        <w:rPr>
          <w:rFonts w:cs="Arial"/>
          <w:sz w:val="18"/>
          <w:szCs w:val="18"/>
        </w:rPr>
      </w:pPr>
      <w:r w:rsidRPr="00F90443">
        <w:rPr>
          <w:rFonts w:cs="Arial"/>
          <w:sz w:val="18"/>
          <w:szCs w:val="18"/>
        </w:rPr>
        <w:t>Volledig uitstellen van de garantie-uitkering</w:t>
      </w:r>
    </w:p>
    <w:p w:rsidR="001D4B76" w:rsidRPr="00F90443" w:rsidRDefault="001D4B76" w:rsidP="001D4B76">
      <w:pPr>
        <w:keepNext/>
        <w:keepLines/>
        <w:numPr>
          <w:ilvl w:val="0"/>
          <w:numId w:val="6"/>
        </w:numPr>
        <w:spacing w:line="240" w:lineRule="exact"/>
        <w:ind w:left="720"/>
        <w:rPr>
          <w:rFonts w:cs="Arial"/>
          <w:sz w:val="18"/>
          <w:szCs w:val="18"/>
        </w:rPr>
      </w:pPr>
      <w:r w:rsidRPr="00F90443">
        <w:rPr>
          <w:rFonts w:cs="Arial"/>
          <w:sz w:val="18"/>
          <w:szCs w:val="18"/>
        </w:rPr>
        <w:t xml:space="preserve">Voor zover de werknemer nog een dienstbetrekking heeft kan hij de garantie-uitkering uitstellen. </w:t>
      </w:r>
      <w:r w:rsidRPr="00F90443">
        <w:rPr>
          <w:rFonts w:cs="Arial"/>
          <w:sz w:val="18"/>
          <w:szCs w:val="18"/>
        </w:rPr>
        <w:br/>
        <w:t>De ingangsdatum van de garantie-uitkering wordt uitgesteld tot de door de werknemer gewenste ingangsdatum, echter tot uiterlijk een maand voor de 65-jarige leeftijd. De werknemer behoudt het recht de opnieuw vastgestelde ingangsdatum van de garantie-uitkering geheel of gedeeltelijk te vervroegen of uit te stellen.</w:t>
      </w:r>
    </w:p>
    <w:p w:rsidR="001D4B76" w:rsidRPr="00F90443" w:rsidRDefault="001D4B76" w:rsidP="001D4B76">
      <w:pPr>
        <w:numPr>
          <w:ilvl w:val="0"/>
          <w:numId w:val="6"/>
        </w:numPr>
        <w:spacing w:line="240" w:lineRule="exact"/>
        <w:ind w:left="720"/>
        <w:rPr>
          <w:rFonts w:cs="Arial"/>
          <w:sz w:val="18"/>
          <w:szCs w:val="18"/>
        </w:rPr>
      </w:pPr>
      <w:r w:rsidRPr="00F90443">
        <w:rPr>
          <w:rFonts w:cs="Arial"/>
          <w:sz w:val="18"/>
          <w:szCs w:val="18"/>
        </w:rPr>
        <w:t>Indien de werknemer de garantie-uitkering niet heeft aangevraagd voor het bereiken van de 65-jarige leeftijd, kan de werknemer geen gebruik meer maken van de garantie-uitkering.</w:t>
      </w:r>
    </w:p>
    <w:p w:rsidR="001D4B76" w:rsidRPr="00F90443" w:rsidRDefault="001D4B76" w:rsidP="001D4B76">
      <w:pPr>
        <w:numPr>
          <w:ilvl w:val="0"/>
          <w:numId w:val="6"/>
        </w:numPr>
        <w:spacing w:line="240" w:lineRule="exact"/>
        <w:ind w:left="720"/>
        <w:rPr>
          <w:rFonts w:cs="Arial"/>
          <w:sz w:val="18"/>
          <w:szCs w:val="18"/>
        </w:rPr>
      </w:pPr>
      <w:r w:rsidRPr="00F90443">
        <w:rPr>
          <w:rFonts w:cs="Arial"/>
          <w:sz w:val="18"/>
          <w:szCs w:val="18"/>
        </w:rPr>
        <w:t>Als de garantie-uitkering uitgesteld wordt en als gevolg van de in lid 4 bedoelde herrekening meer bedraagt dan 100% van het laatstverdiende salaris, wordt het meerdere met inachtneming van algemeen aanvaarde actuariële grondslagen omgezet in een aanspraak op ouderdomspensioen, binnen de voor betrokkene geldende pensioenregeling, voor zover het ouderdomspensioen na deze omzetting niet meer bedraagt dan 100% van het laatstverdiende salaris. Een eventueel overschot dat niet omgezet kan worden in ouderdomspensioen, wordt uitgekeerd in een bedrag ineens.</w:t>
      </w:r>
    </w:p>
    <w:p w:rsidR="001D4B76" w:rsidRPr="00F90443" w:rsidRDefault="001D4B76" w:rsidP="001D4B76">
      <w:pPr>
        <w:spacing w:line="240" w:lineRule="exact"/>
        <w:rPr>
          <w:rFonts w:cs="Arial"/>
          <w:sz w:val="18"/>
          <w:szCs w:val="18"/>
        </w:rPr>
      </w:pPr>
    </w:p>
    <w:p w:rsidR="001D4B76" w:rsidRPr="00F90443" w:rsidRDefault="001D4B76" w:rsidP="001D4B76">
      <w:pPr>
        <w:numPr>
          <w:ilvl w:val="0"/>
          <w:numId w:val="5"/>
        </w:numPr>
        <w:spacing w:line="240" w:lineRule="exact"/>
        <w:rPr>
          <w:rFonts w:cs="Arial"/>
          <w:sz w:val="18"/>
          <w:szCs w:val="18"/>
        </w:rPr>
      </w:pPr>
      <w:r w:rsidRPr="00F90443">
        <w:rPr>
          <w:rFonts w:cs="Arial"/>
          <w:sz w:val="18"/>
          <w:szCs w:val="18"/>
        </w:rPr>
        <w:t>Gedeeltelijk vervroegen of uitstellen van de garantie-uitkering</w:t>
      </w:r>
    </w:p>
    <w:p w:rsidR="001D4B76" w:rsidRPr="00F90443" w:rsidRDefault="001D4B76" w:rsidP="001D4B76">
      <w:pPr>
        <w:numPr>
          <w:ilvl w:val="0"/>
          <w:numId w:val="7"/>
        </w:numPr>
        <w:spacing w:line="240" w:lineRule="exact"/>
        <w:ind w:left="720"/>
        <w:rPr>
          <w:rFonts w:cs="Arial"/>
          <w:sz w:val="18"/>
          <w:szCs w:val="18"/>
        </w:rPr>
      </w:pPr>
      <w:r w:rsidRPr="00F90443">
        <w:rPr>
          <w:rFonts w:cs="Arial"/>
          <w:sz w:val="18"/>
          <w:szCs w:val="18"/>
        </w:rPr>
        <w:t>Indien de werknemer de garantie-uitkering gedeeltelijk vervroegt of gedeeltelijk uitstelt, geldt het bepaalde in voorgaande leden van dit artikel pro rata. Het gedeeltelijk vervroegen of uitstellen van de garantie-uitkering is uitsluitend mogelijk in combinatie met deeltijdpensioen (toestemming werkgever vereist).</w:t>
      </w:r>
    </w:p>
    <w:p w:rsidR="001D4B76" w:rsidRPr="00F90443" w:rsidRDefault="001D4B76" w:rsidP="001D4B76">
      <w:pPr>
        <w:numPr>
          <w:ilvl w:val="0"/>
          <w:numId w:val="7"/>
        </w:numPr>
        <w:spacing w:line="240" w:lineRule="exact"/>
        <w:ind w:left="720"/>
        <w:rPr>
          <w:rFonts w:cs="Arial"/>
          <w:sz w:val="18"/>
          <w:szCs w:val="18"/>
        </w:rPr>
      </w:pPr>
      <w:r w:rsidRPr="00F90443">
        <w:rPr>
          <w:rFonts w:cs="Arial"/>
          <w:sz w:val="18"/>
          <w:szCs w:val="18"/>
        </w:rPr>
        <w:t>Het deel dat vervroegd wordt, wordt altijd gerelateerd aan het percentage dat de werknemer minder gaat werken. Het deel dat uitgesteld wordt, wordt altijd gerelateerd aan het percentage dat de werknemer blijft werken.</w:t>
      </w:r>
    </w:p>
    <w:p w:rsidR="001D4B76" w:rsidRPr="00F90443" w:rsidRDefault="001D4B76" w:rsidP="001D4B76">
      <w:pPr>
        <w:spacing w:line="240" w:lineRule="exact"/>
        <w:ind w:left="360"/>
        <w:rPr>
          <w:rFonts w:cs="Arial"/>
          <w:sz w:val="18"/>
          <w:szCs w:val="18"/>
        </w:rPr>
      </w:pPr>
      <w:r w:rsidRPr="00F90443">
        <w:rPr>
          <w:rFonts w:cs="Arial"/>
          <w:sz w:val="18"/>
          <w:szCs w:val="18"/>
        </w:rPr>
        <w:t xml:space="preserve"> </w:t>
      </w:r>
    </w:p>
    <w:p w:rsidR="001D4B76" w:rsidRPr="00F90443" w:rsidRDefault="001D4B76" w:rsidP="001D4B76">
      <w:pPr>
        <w:numPr>
          <w:ilvl w:val="0"/>
          <w:numId w:val="5"/>
        </w:numPr>
        <w:spacing w:line="240" w:lineRule="exact"/>
        <w:rPr>
          <w:rFonts w:cs="Arial"/>
          <w:sz w:val="18"/>
          <w:szCs w:val="18"/>
        </w:rPr>
      </w:pPr>
      <w:r w:rsidRPr="00F90443">
        <w:rPr>
          <w:rFonts w:cs="Arial"/>
          <w:sz w:val="18"/>
          <w:szCs w:val="18"/>
        </w:rPr>
        <w:lastRenderedPageBreak/>
        <w:t>Ruilvoeten</w:t>
      </w:r>
    </w:p>
    <w:p w:rsidR="001D4B76" w:rsidRPr="00F90443" w:rsidRDefault="001D4B76" w:rsidP="001D4B76">
      <w:pPr>
        <w:spacing w:line="240" w:lineRule="exact"/>
        <w:ind w:left="360"/>
        <w:rPr>
          <w:rFonts w:cs="Arial"/>
          <w:sz w:val="18"/>
          <w:szCs w:val="18"/>
        </w:rPr>
      </w:pPr>
      <w:r w:rsidRPr="00F90443">
        <w:rPr>
          <w:rFonts w:cs="Arial"/>
          <w:sz w:val="18"/>
          <w:szCs w:val="18"/>
        </w:rPr>
        <w:t>Een garantie-uitkering die eerder of later ingaat dan op de in artikel 2, lid 4, aangegeven leeftijd, wordt herrekend volgens algemeen aanvaarde, voor mannen en vrouwen gelijke actuariële grondslagen, volgens onderstaande tabel. Indien de ingangsdatum van de garantie-uitkering niet valt in de maand waarin de in de linker kolom genoemde leeftijd is bereikt, dan wordt als ruilvoet een van onderstaande tabel afwijkend percentage aangehouden dat overeenkomt met de leeftijd van betrokkene op de ingangsdatum van de garantie-uitkering in maanden nauwkeurig.</w:t>
      </w:r>
    </w:p>
    <w:p w:rsidR="001D4B76" w:rsidRPr="00F90443" w:rsidRDefault="001D4B76" w:rsidP="001D4B76">
      <w:pPr>
        <w:spacing w:line="240" w:lineRule="exact"/>
        <w:ind w:left="360"/>
        <w:rPr>
          <w:rFonts w:cs="Arial"/>
          <w:sz w:val="18"/>
          <w:szCs w:val="18"/>
        </w:rPr>
      </w:pPr>
      <w:r w:rsidRPr="00F90443">
        <w:rPr>
          <w:rFonts w:cs="Arial"/>
          <w:sz w:val="18"/>
          <w:szCs w:val="18"/>
        </w:rPr>
        <w:tab/>
      </w:r>
      <w:r w:rsidRPr="00F90443">
        <w:rPr>
          <w:rFonts w:cs="Arial"/>
          <w:sz w:val="18"/>
          <w:szCs w:val="18"/>
        </w:rPr>
        <w:tab/>
      </w:r>
    </w:p>
    <w:tbl>
      <w:tblPr>
        <w:tblW w:w="0" w:type="auto"/>
        <w:tblInd w:w="456" w:type="dxa"/>
        <w:tblLayout w:type="fixed"/>
        <w:tblCellMar>
          <w:left w:w="30" w:type="dxa"/>
          <w:right w:w="30" w:type="dxa"/>
        </w:tblCellMar>
        <w:tblLook w:val="0000"/>
      </w:tblPr>
      <w:tblGrid>
        <w:gridCol w:w="1010"/>
        <w:gridCol w:w="1011"/>
        <w:gridCol w:w="1010"/>
        <w:gridCol w:w="1110"/>
      </w:tblGrid>
      <w:tr w:rsidR="001D4B76" w:rsidRPr="00F90443" w:rsidTr="00650326">
        <w:trPr>
          <w:trHeight w:val="262"/>
        </w:trPr>
        <w:tc>
          <w:tcPr>
            <w:tcW w:w="1010" w:type="dxa"/>
            <w:tcBorders>
              <w:top w:val="single" w:sz="12" w:space="0" w:color="auto"/>
              <w:left w:val="single" w:sz="12" w:space="0" w:color="auto"/>
              <w:bottom w:val="single" w:sz="12" w:space="0" w:color="auto"/>
              <w:right w:val="single" w:sz="12" w:space="0" w:color="auto"/>
            </w:tcBorders>
          </w:tcPr>
          <w:p w:rsidR="001D4B76" w:rsidRPr="00F90443" w:rsidRDefault="001D4B76" w:rsidP="00650326">
            <w:pPr>
              <w:autoSpaceDE w:val="0"/>
              <w:autoSpaceDN w:val="0"/>
              <w:adjustRightInd w:val="0"/>
              <w:spacing w:line="240" w:lineRule="exact"/>
              <w:ind w:left="130"/>
              <w:rPr>
                <w:rFonts w:cs="Arial"/>
                <w:color w:val="000000"/>
              </w:rPr>
            </w:pPr>
            <w:r w:rsidRPr="00F90443">
              <w:rPr>
                <w:rFonts w:cs="Arial"/>
                <w:color w:val="000000"/>
              </w:rPr>
              <w:t>Leeftijd</w:t>
            </w:r>
          </w:p>
        </w:tc>
        <w:tc>
          <w:tcPr>
            <w:tcW w:w="1011" w:type="dxa"/>
            <w:tcBorders>
              <w:top w:val="single" w:sz="12" w:space="0" w:color="auto"/>
              <w:left w:val="single" w:sz="12" w:space="0" w:color="auto"/>
              <w:bottom w:val="single" w:sz="12" w:space="0" w:color="auto"/>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60,5</w:t>
            </w:r>
          </w:p>
        </w:tc>
        <w:tc>
          <w:tcPr>
            <w:tcW w:w="1010" w:type="dxa"/>
            <w:tcBorders>
              <w:top w:val="single" w:sz="12" w:space="0" w:color="auto"/>
              <w:left w:val="nil"/>
              <w:bottom w:val="single" w:sz="12" w:space="0" w:color="auto"/>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61</w:t>
            </w:r>
          </w:p>
        </w:tc>
        <w:tc>
          <w:tcPr>
            <w:tcW w:w="1110" w:type="dxa"/>
            <w:tcBorders>
              <w:top w:val="single" w:sz="12" w:space="0" w:color="auto"/>
              <w:left w:val="nil"/>
              <w:bottom w:val="single" w:sz="12" w:space="0" w:color="auto"/>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61,5</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60</w:t>
            </w:r>
          </w:p>
        </w:tc>
        <w:tc>
          <w:tcPr>
            <w:tcW w:w="1011" w:type="dxa"/>
            <w:tcBorders>
              <w:top w:val="single" w:sz="12" w:space="0" w:color="auto"/>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89%</w:t>
            </w:r>
          </w:p>
        </w:tc>
        <w:tc>
          <w:tcPr>
            <w:tcW w:w="1010" w:type="dxa"/>
            <w:tcBorders>
              <w:top w:val="single" w:sz="12" w:space="0" w:color="auto"/>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78%</w:t>
            </w:r>
          </w:p>
        </w:tc>
        <w:tc>
          <w:tcPr>
            <w:tcW w:w="1110" w:type="dxa"/>
            <w:tcBorders>
              <w:top w:val="single" w:sz="12" w:space="0" w:color="auto"/>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68%</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60,5</w:t>
            </w:r>
          </w:p>
        </w:tc>
        <w:tc>
          <w:tcPr>
            <w:tcW w:w="1011"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100%</w:t>
            </w:r>
          </w:p>
        </w:tc>
        <w:tc>
          <w:tcPr>
            <w:tcW w:w="1010" w:type="dxa"/>
            <w:tcBorders>
              <w:top w:val="nil"/>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88%</w:t>
            </w:r>
          </w:p>
        </w:tc>
        <w:tc>
          <w:tcPr>
            <w:tcW w:w="1110" w:type="dxa"/>
            <w:tcBorders>
              <w:top w:val="nil"/>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76%</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61</w:t>
            </w:r>
          </w:p>
        </w:tc>
        <w:tc>
          <w:tcPr>
            <w:tcW w:w="1011"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114%</w:t>
            </w:r>
          </w:p>
        </w:tc>
        <w:tc>
          <w:tcPr>
            <w:tcW w:w="1010" w:type="dxa"/>
            <w:tcBorders>
              <w:top w:val="nil"/>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100%</w:t>
            </w:r>
          </w:p>
        </w:tc>
        <w:tc>
          <w:tcPr>
            <w:tcW w:w="1110" w:type="dxa"/>
            <w:tcBorders>
              <w:top w:val="nil"/>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87%</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61,5</w:t>
            </w:r>
          </w:p>
        </w:tc>
        <w:tc>
          <w:tcPr>
            <w:tcW w:w="1011"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132%</w:t>
            </w:r>
          </w:p>
        </w:tc>
        <w:tc>
          <w:tcPr>
            <w:tcW w:w="1010" w:type="dxa"/>
            <w:tcBorders>
              <w:top w:val="nil"/>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116%</w:t>
            </w:r>
          </w:p>
        </w:tc>
        <w:tc>
          <w:tcPr>
            <w:tcW w:w="1110" w:type="dxa"/>
            <w:tcBorders>
              <w:top w:val="nil"/>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100%</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62</w:t>
            </w:r>
          </w:p>
        </w:tc>
        <w:tc>
          <w:tcPr>
            <w:tcW w:w="1011"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156%</w:t>
            </w:r>
          </w:p>
        </w:tc>
        <w:tc>
          <w:tcPr>
            <w:tcW w:w="1010" w:type="dxa"/>
            <w:tcBorders>
              <w:top w:val="nil"/>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137%</w:t>
            </w:r>
          </w:p>
        </w:tc>
        <w:tc>
          <w:tcPr>
            <w:tcW w:w="1110" w:type="dxa"/>
            <w:tcBorders>
              <w:top w:val="nil"/>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118%</w:t>
            </w:r>
          </w:p>
        </w:tc>
      </w:tr>
      <w:tr w:rsidR="001D4B76" w:rsidRPr="00F90443" w:rsidTr="00650326">
        <w:trPr>
          <w:trHeight w:val="247"/>
        </w:trPr>
        <w:tc>
          <w:tcPr>
            <w:tcW w:w="1010"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63</w:t>
            </w:r>
          </w:p>
        </w:tc>
        <w:tc>
          <w:tcPr>
            <w:tcW w:w="1011" w:type="dxa"/>
            <w:tcBorders>
              <w:top w:val="nil"/>
              <w:left w:val="single" w:sz="12" w:space="0" w:color="auto"/>
              <w:bottom w:val="nil"/>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240%</w:t>
            </w:r>
          </w:p>
        </w:tc>
        <w:tc>
          <w:tcPr>
            <w:tcW w:w="1010" w:type="dxa"/>
            <w:tcBorders>
              <w:top w:val="nil"/>
              <w:left w:val="single" w:sz="12" w:space="0" w:color="auto"/>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210%</w:t>
            </w:r>
          </w:p>
        </w:tc>
        <w:tc>
          <w:tcPr>
            <w:tcW w:w="1110" w:type="dxa"/>
            <w:tcBorders>
              <w:top w:val="nil"/>
              <w:left w:val="nil"/>
              <w:bottom w:val="nil"/>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182%</w:t>
            </w:r>
          </w:p>
        </w:tc>
      </w:tr>
      <w:tr w:rsidR="001D4B76" w:rsidRPr="00F90443" w:rsidTr="00650326">
        <w:trPr>
          <w:trHeight w:val="262"/>
        </w:trPr>
        <w:tc>
          <w:tcPr>
            <w:tcW w:w="1010" w:type="dxa"/>
            <w:tcBorders>
              <w:top w:val="nil"/>
              <w:left w:val="single" w:sz="12" w:space="0" w:color="auto"/>
              <w:bottom w:val="single" w:sz="12" w:space="0" w:color="auto"/>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64</w:t>
            </w:r>
          </w:p>
        </w:tc>
        <w:tc>
          <w:tcPr>
            <w:tcW w:w="1011" w:type="dxa"/>
            <w:tcBorders>
              <w:top w:val="nil"/>
              <w:left w:val="single" w:sz="12" w:space="0" w:color="auto"/>
              <w:bottom w:val="single" w:sz="12" w:space="0" w:color="auto"/>
              <w:right w:val="nil"/>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492%</w:t>
            </w:r>
          </w:p>
        </w:tc>
        <w:tc>
          <w:tcPr>
            <w:tcW w:w="1010" w:type="dxa"/>
            <w:tcBorders>
              <w:top w:val="nil"/>
              <w:left w:val="single" w:sz="12" w:space="0" w:color="auto"/>
              <w:bottom w:val="single" w:sz="12" w:space="0" w:color="auto"/>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432%</w:t>
            </w:r>
          </w:p>
        </w:tc>
        <w:tc>
          <w:tcPr>
            <w:tcW w:w="1110" w:type="dxa"/>
            <w:tcBorders>
              <w:top w:val="nil"/>
              <w:left w:val="nil"/>
              <w:bottom w:val="single" w:sz="12" w:space="0" w:color="auto"/>
              <w:right w:val="single" w:sz="12" w:space="0" w:color="auto"/>
            </w:tcBorders>
          </w:tcPr>
          <w:p w:rsidR="001D4B76" w:rsidRPr="00F90443" w:rsidRDefault="001D4B76" w:rsidP="00650326">
            <w:pPr>
              <w:autoSpaceDE w:val="0"/>
              <w:autoSpaceDN w:val="0"/>
              <w:adjustRightInd w:val="0"/>
              <w:spacing w:line="240" w:lineRule="exact"/>
              <w:ind w:left="130"/>
              <w:jc w:val="right"/>
              <w:rPr>
                <w:rFonts w:cs="Arial"/>
                <w:color w:val="000000"/>
              </w:rPr>
            </w:pPr>
            <w:r w:rsidRPr="00F90443">
              <w:rPr>
                <w:rFonts w:cs="Arial"/>
                <w:color w:val="000000"/>
              </w:rPr>
              <w:t>374%</w:t>
            </w:r>
          </w:p>
        </w:tc>
      </w:tr>
    </w:tbl>
    <w:p w:rsidR="001D4B76" w:rsidRPr="00F90443" w:rsidRDefault="001D4B76" w:rsidP="001D4B76">
      <w:pPr>
        <w:spacing w:line="240" w:lineRule="exact"/>
        <w:rPr>
          <w:rFonts w:cs="Arial"/>
          <w:sz w:val="18"/>
          <w:szCs w:val="18"/>
          <w:lang w:val="nl"/>
        </w:rPr>
      </w:pPr>
    </w:p>
    <w:p w:rsidR="001D4B76" w:rsidRPr="00F90443" w:rsidRDefault="001D4B76" w:rsidP="001D4B76">
      <w:pPr>
        <w:numPr>
          <w:ilvl w:val="0"/>
          <w:numId w:val="5"/>
        </w:numPr>
        <w:spacing w:line="240" w:lineRule="exact"/>
        <w:rPr>
          <w:rFonts w:cs="Arial"/>
          <w:sz w:val="18"/>
          <w:szCs w:val="18"/>
        </w:rPr>
      </w:pPr>
      <w:r w:rsidRPr="00F90443">
        <w:rPr>
          <w:rFonts w:cs="Arial"/>
          <w:sz w:val="18"/>
          <w:szCs w:val="18"/>
        </w:rPr>
        <w:t>Vervroegen en uitstellen garantie-uitkering bij arbeidsongeschiktheid</w:t>
      </w:r>
    </w:p>
    <w:p w:rsidR="001D4B76" w:rsidRPr="00F90443" w:rsidRDefault="001D4B76" w:rsidP="001D4B76">
      <w:pPr>
        <w:spacing w:line="240" w:lineRule="exact"/>
        <w:ind w:left="360"/>
        <w:rPr>
          <w:rFonts w:cs="Arial"/>
          <w:sz w:val="18"/>
          <w:szCs w:val="18"/>
        </w:rPr>
      </w:pPr>
      <w:r w:rsidRPr="00F90443">
        <w:rPr>
          <w:rFonts w:cs="Arial"/>
          <w:sz w:val="18"/>
          <w:szCs w:val="18"/>
        </w:rPr>
        <w:t>De gedeeltelijk arbeidsongeschikte werknemer heeft geen recht op vervroeging of uitstel van de garantie-uitkering voor het gedeelte van de garantie-uitkering dat correspondeert met zijn mate van  arbeidsongeschiktheid op de gewenste pensioneringsdatum. In dat geval gaat de garantie-uitkering in op de in artikel 2, lid 4, aangegeven leeftijd naar rato van het arbeidsongeschiktheidspercentage.</w:t>
      </w:r>
    </w:p>
    <w:p w:rsidR="001D4B76" w:rsidRPr="00F90443" w:rsidRDefault="001D4B76" w:rsidP="001D4B76">
      <w:pPr>
        <w:pStyle w:val="Plattetekstinspringen3"/>
        <w:spacing w:line="240" w:lineRule="exact"/>
        <w:ind w:left="0"/>
      </w:pPr>
    </w:p>
    <w:p w:rsidR="001D4B76" w:rsidRPr="00F90443" w:rsidRDefault="001D4B76" w:rsidP="001D4B76">
      <w:pPr>
        <w:tabs>
          <w:tab w:val="left" w:pos="426"/>
          <w:tab w:val="left" w:pos="851"/>
          <w:tab w:val="left" w:pos="1276"/>
        </w:tabs>
        <w:spacing w:line="240" w:lineRule="exact"/>
        <w:ind w:left="425" w:hanging="425"/>
        <w:jc w:val="center"/>
        <w:rPr>
          <w:b/>
          <w:sz w:val="18"/>
        </w:rPr>
      </w:pPr>
      <w:r w:rsidRPr="00F90443">
        <w:rPr>
          <w:b/>
          <w:sz w:val="18"/>
        </w:rPr>
        <w:t>Artikel 4</w:t>
      </w:r>
    </w:p>
    <w:p w:rsidR="001D4B76" w:rsidRPr="00F90443" w:rsidRDefault="001D4B76" w:rsidP="001D4B76">
      <w:pPr>
        <w:tabs>
          <w:tab w:val="left" w:pos="426"/>
          <w:tab w:val="left" w:pos="851"/>
          <w:tab w:val="left" w:pos="1276"/>
        </w:tabs>
        <w:spacing w:line="240" w:lineRule="exact"/>
        <w:ind w:left="425" w:hanging="425"/>
        <w:jc w:val="center"/>
        <w:rPr>
          <w:b/>
          <w:sz w:val="18"/>
        </w:rPr>
      </w:pPr>
      <w:r w:rsidRPr="00F90443">
        <w:rPr>
          <w:b/>
          <w:sz w:val="18"/>
        </w:rPr>
        <w:t>Indexatie garantie-uitkering</w:t>
      </w:r>
    </w:p>
    <w:p w:rsidR="001D4B76" w:rsidRPr="00F90443" w:rsidRDefault="001D4B76" w:rsidP="001D4B76">
      <w:pPr>
        <w:tabs>
          <w:tab w:val="left" w:pos="426"/>
          <w:tab w:val="left" w:pos="851"/>
          <w:tab w:val="left" w:pos="1276"/>
        </w:tabs>
        <w:spacing w:line="240" w:lineRule="exact"/>
        <w:ind w:left="425" w:hanging="425"/>
        <w:rPr>
          <w:sz w:val="18"/>
        </w:rPr>
      </w:pPr>
    </w:p>
    <w:p w:rsidR="001D4B76" w:rsidRPr="00F90443" w:rsidRDefault="001D4B76" w:rsidP="001D4B76">
      <w:pPr>
        <w:tabs>
          <w:tab w:val="left" w:pos="426"/>
          <w:tab w:val="left" w:pos="851"/>
          <w:tab w:val="left" w:pos="1276"/>
        </w:tabs>
        <w:spacing w:line="240" w:lineRule="exact"/>
        <w:ind w:left="425" w:hanging="425"/>
        <w:rPr>
          <w:sz w:val="18"/>
        </w:rPr>
      </w:pPr>
      <w:r w:rsidRPr="00F90443">
        <w:rPr>
          <w:sz w:val="18"/>
        </w:rPr>
        <w:t>1.</w:t>
      </w:r>
      <w:r w:rsidRPr="00F90443">
        <w:rPr>
          <w:sz w:val="18"/>
        </w:rPr>
        <w:tab/>
        <w:t xml:space="preserve">De Stichting Uittreden in de Houtverwerkende Industrie streeft ernaar om ingegane garantie-uitkeringen jaarlijks per 1 januari te verhogen volgens het bepaalde in het volgende lid. </w:t>
      </w:r>
    </w:p>
    <w:p w:rsidR="001D4B76" w:rsidRPr="00F90443" w:rsidRDefault="001D4B76" w:rsidP="001D4B76">
      <w:pPr>
        <w:tabs>
          <w:tab w:val="left" w:pos="426"/>
          <w:tab w:val="left" w:pos="851"/>
          <w:tab w:val="left" w:pos="1276"/>
        </w:tabs>
        <w:spacing w:line="240" w:lineRule="exact"/>
        <w:ind w:left="425" w:hanging="425"/>
        <w:rPr>
          <w:sz w:val="18"/>
        </w:rPr>
      </w:pPr>
      <w:r w:rsidRPr="00F90443">
        <w:rPr>
          <w:sz w:val="18"/>
        </w:rPr>
        <w:tab/>
        <w:t>De Stichting Uittreden in de Houtverwerkende Industrie beslist jaarlijks of de beschikbare middelen voldoende zijn om deze verhoging uit te voeren.</w:t>
      </w:r>
    </w:p>
    <w:p w:rsidR="001D4B76" w:rsidRPr="00F90443" w:rsidRDefault="001D4B76" w:rsidP="001D4B76">
      <w:pPr>
        <w:tabs>
          <w:tab w:val="left" w:pos="426"/>
          <w:tab w:val="left" w:pos="851"/>
          <w:tab w:val="left" w:pos="1276"/>
        </w:tabs>
        <w:spacing w:line="240" w:lineRule="exact"/>
        <w:ind w:left="425" w:hanging="425"/>
        <w:rPr>
          <w:sz w:val="18"/>
        </w:rPr>
      </w:pPr>
      <w:r w:rsidRPr="00F90443">
        <w:rPr>
          <w:sz w:val="18"/>
        </w:rPr>
        <w:tab/>
        <w:t>De Stichting Uittreden in de Houtverwerkende Industrie kan jaarlijks beslissen om af te wijken van het in het volgende lid bepaalde en een lagere of geen verhoging toe te passen.</w:t>
      </w:r>
    </w:p>
    <w:p w:rsidR="001D4B76" w:rsidRPr="00F90443" w:rsidRDefault="001D4B76" w:rsidP="001D4B76">
      <w:pPr>
        <w:spacing w:line="240" w:lineRule="exact"/>
        <w:ind w:left="425" w:hanging="425"/>
        <w:rPr>
          <w:sz w:val="18"/>
        </w:rPr>
      </w:pPr>
    </w:p>
    <w:p w:rsidR="001D4B76" w:rsidRPr="00F90443" w:rsidRDefault="001D4B76" w:rsidP="001D4B76">
      <w:pPr>
        <w:tabs>
          <w:tab w:val="left" w:pos="426"/>
        </w:tabs>
        <w:spacing w:line="240" w:lineRule="exact"/>
        <w:ind w:left="425" w:hanging="425"/>
        <w:rPr>
          <w:snapToGrid w:val="0"/>
        </w:rPr>
      </w:pPr>
      <w:r w:rsidRPr="00F90443">
        <w:rPr>
          <w:snapToGrid w:val="0"/>
          <w:sz w:val="18"/>
        </w:rPr>
        <w:t>2.</w:t>
      </w:r>
      <w:r w:rsidRPr="00F90443">
        <w:rPr>
          <w:snapToGrid w:val="0"/>
          <w:sz w:val="18"/>
        </w:rPr>
        <w:tab/>
        <w:t xml:space="preserve">Als de </w:t>
      </w:r>
      <w:r w:rsidRPr="00F90443">
        <w:rPr>
          <w:sz w:val="18"/>
        </w:rPr>
        <w:t xml:space="preserve">Stichting Uittreden in de Houtverwerkende Industrie </w:t>
      </w:r>
      <w:r w:rsidRPr="00F90443">
        <w:rPr>
          <w:snapToGrid w:val="0"/>
          <w:sz w:val="18"/>
        </w:rPr>
        <w:t xml:space="preserve">besloten heeft tot verhoging, vindt de verhoging van de ingegane garantie-uitkeringen in beginsel plaats op basis van het percentage waarmee de prijzen </w:t>
      </w:r>
      <w:r w:rsidRPr="00F90443">
        <w:rPr>
          <w:sz w:val="18"/>
        </w:rPr>
        <w:t>op 1 oktober van het laatstverstreken jaar zijn gewijzigd ten opzichte van 1 oktober van het daaraan voorafgaande jaar.</w:t>
      </w:r>
      <w:r w:rsidRPr="00F90443">
        <w:rPr>
          <w:snapToGrid w:val="0"/>
          <w:sz w:val="18"/>
        </w:rPr>
        <w:t xml:space="preserve"> Voor de ontwikkeling van de prijzen wordt aansluiting gezocht bij het ‘Consumentenprijsindexcijfer alle huishoudens, afgeleid’, zoals dit cijfer wordt gepubliceerd door het Centraal Bureau voor de Statistiek.</w:t>
      </w:r>
    </w:p>
    <w:p w:rsidR="001D4B76" w:rsidRPr="00F90443" w:rsidRDefault="001D4B76" w:rsidP="001D4B76">
      <w:pPr>
        <w:tabs>
          <w:tab w:val="left" w:pos="426"/>
        </w:tabs>
        <w:spacing w:line="240" w:lineRule="exact"/>
        <w:rPr>
          <w:b/>
          <w:sz w:val="18"/>
        </w:rPr>
      </w:pPr>
    </w:p>
    <w:p w:rsidR="001D4B76" w:rsidRPr="00F90443" w:rsidRDefault="001D4B76" w:rsidP="001D4B76">
      <w:pPr>
        <w:tabs>
          <w:tab w:val="left" w:pos="426"/>
        </w:tabs>
        <w:spacing w:line="240" w:lineRule="exact"/>
        <w:jc w:val="center"/>
        <w:rPr>
          <w:b/>
          <w:sz w:val="18"/>
        </w:rPr>
      </w:pPr>
      <w:r w:rsidRPr="00F90443">
        <w:rPr>
          <w:b/>
          <w:sz w:val="18"/>
        </w:rPr>
        <w:t>Artikel 5</w:t>
      </w:r>
    </w:p>
    <w:p w:rsidR="001D4B76" w:rsidRPr="00F90443" w:rsidRDefault="001D4B76" w:rsidP="001D4B76">
      <w:pPr>
        <w:spacing w:line="240" w:lineRule="exact"/>
        <w:jc w:val="center"/>
        <w:rPr>
          <w:b/>
          <w:sz w:val="18"/>
        </w:rPr>
      </w:pPr>
      <w:r w:rsidRPr="00F90443">
        <w:rPr>
          <w:b/>
          <w:sz w:val="18"/>
        </w:rPr>
        <w:t>Definitie werknemer</w:t>
      </w:r>
    </w:p>
    <w:p w:rsidR="001D4B76" w:rsidRPr="00F90443" w:rsidRDefault="001D4B76" w:rsidP="001D4B76">
      <w:pPr>
        <w:spacing w:line="240" w:lineRule="exact"/>
        <w:rPr>
          <w:sz w:val="18"/>
        </w:rPr>
      </w:pPr>
    </w:p>
    <w:p w:rsidR="001D4B76" w:rsidRPr="00F90443" w:rsidRDefault="001D4B76" w:rsidP="001D4B76">
      <w:pPr>
        <w:spacing w:line="240" w:lineRule="exact"/>
        <w:rPr>
          <w:sz w:val="18"/>
        </w:rPr>
      </w:pPr>
      <w:r w:rsidRPr="00F90443">
        <w:rPr>
          <w:sz w:val="18"/>
        </w:rPr>
        <w:t>Bij deze overeenkomst zijn betrokken de mannelijke en vrouwelijke werknemers die werkzaam zijn bij een onderneming als in artikel 1 bedoeld.</w:t>
      </w:r>
    </w:p>
    <w:p w:rsidR="001D4B76" w:rsidRPr="00F90443" w:rsidRDefault="001D4B76" w:rsidP="001D4B76">
      <w:pPr>
        <w:spacing w:line="240" w:lineRule="exact"/>
        <w:rPr>
          <w:sz w:val="18"/>
        </w:rPr>
      </w:pPr>
      <w:r w:rsidRPr="00F90443">
        <w:rPr>
          <w:sz w:val="18"/>
        </w:rPr>
        <w:lastRenderedPageBreak/>
        <w:t>Voor de toepassing van artikel 2 zijn de directeur/grootaandeelhouder, zijn echtgeno(o)t(e) en zijn familieleden geen werknemer in de zin van deze CAO, met uitzondering van de directeuren/grootaandeelhouders die reeds vrijwillig deelnamen aan de VUT-regeling in de houtverwerkende industrie.</w:t>
      </w:r>
    </w:p>
    <w:p w:rsidR="001D4B76" w:rsidRPr="00F90443" w:rsidRDefault="001D4B76" w:rsidP="001D4B76">
      <w:pPr>
        <w:tabs>
          <w:tab w:val="left" w:pos="284"/>
        </w:tabs>
        <w:spacing w:line="240" w:lineRule="exact"/>
        <w:rPr>
          <w:b/>
          <w:sz w:val="18"/>
        </w:rPr>
      </w:pPr>
    </w:p>
    <w:p w:rsidR="001D4B76" w:rsidRPr="00F90443" w:rsidRDefault="001D4B76" w:rsidP="001D4B76">
      <w:pPr>
        <w:tabs>
          <w:tab w:val="left" w:pos="284"/>
        </w:tabs>
        <w:spacing w:line="240" w:lineRule="exact"/>
        <w:jc w:val="center"/>
        <w:rPr>
          <w:b/>
          <w:sz w:val="18"/>
        </w:rPr>
      </w:pPr>
      <w:r w:rsidRPr="00F90443">
        <w:rPr>
          <w:b/>
          <w:sz w:val="18"/>
        </w:rPr>
        <w:t>Artikel 6</w:t>
      </w:r>
    </w:p>
    <w:p w:rsidR="001D4B76" w:rsidRPr="00F90443" w:rsidRDefault="001D4B76" w:rsidP="001D4B76">
      <w:pPr>
        <w:tabs>
          <w:tab w:val="left" w:pos="284"/>
        </w:tabs>
        <w:spacing w:line="240" w:lineRule="exact"/>
        <w:jc w:val="center"/>
        <w:rPr>
          <w:b/>
          <w:sz w:val="18"/>
        </w:rPr>
      </w:pPr>
      <w:r w:rsidRPr="00F90443">
        <w:rPr>
          <w:b/>
          <w:sz w:val="18"/>
        </w:rPr>
        <w:t>Uitvoering</w:t>
      </w:r>
    </w:p>
    <w:p w:rsidR="001D4B76" w:rsidRPr="00F90443" w:rsidRDefault="001D4B76" w:rsidP="001D4B76">
      <w:pPr>
        <w:tabs>
          <w:tab w:val="left" w:pos="284"/>
        </w:tabs>
        <w:spacing w:line="240" w:lineRule="exact"/>
        <w:rPr>
          <w:sz w:val="18"/>
        </w:rPr>
      </w:pPr>
    </w:p>
    <w:p w:rsidR="001D4B76" w:rsidRPr="00F90443" w:rsidRDefault="001D4B76" w:rsidP="001D4B76">
      <w:pPr>
        <w:tabs>
          <w:tab w:val="left" w:pos="284"/>
        </w:tabs>
        <w:spacing w:line="240" w:lineRule="exact"/>
        <w:rPr>
          <w:sz w:val="18"/>
        </w:rPr>
      </w:pPr>
      <w:r w:rsidRPr="00F90443">
        <w:rPr>
          <w:sz w:val="18"/>
        </w:rPr>
        <w:t>De Garantieregeling wordt uitgevoerd door Stichting Uittreden in de Houtverwerkende Industrie. De statuten van de Stichting Uittreden in de Houtverwerkende Industrie maken deel uit van deze CAO.</w:t>
      </w:r>
    </w:p>
    <w:p w:rsidR="001D4B76" w:rsidRPr="00F90443" w:rsidRDefault="001D4B76" w:rsidP="001D4B76">
      <w:pPr>
        <w:tabs>
          <w:tab w:val="left" w:pos="284"/>
        </w:tabs>
        <w:spacing w:line="240" w:lineRule="exact"/>
        <w:rPr>
          <w:b/>
          <w:sz w:val="18"/>
        </w:rPr>
      </w:pPr>
    </w:p>
    <w:p w:rsidR="001D4B76" w:rsidRPr="00F90443" w:rsidRDefault="001D4B76" w:rsidP="001D4B76">
      <w:pPr>
        <w:tabs>
          <w:tab w:val="left" w:pos="284"/>
        </w:tabs>
        <w:spacing w:line="240" w:lineRule="exact"/>
        <w:jc w:val="center"/>
        <w:rPr>
          <w:b/>
          <w:sz w:val="18"/>
        </w:rPr>
      </w:pPr>
      <w:r w:rsidRPr="00F90443">
        <w:rPr>
          <w:b/>
          <w:sz w:val="18"/>
        </w:rPr>
        <w:t>Artikel 7</w:t>
      </w:r>
    </w:p>
    <w:p w:rsidR="001D4B76" w:rsidRPr="00F90443" w:rsidRDefault="001D4B76" w:rsidP="001D4B76">
      <w:pPr>
        <w:tabs>
          <w:tab w:val="left" w:pos="284"/>
        </w:tabs>
        <w:spacing w:line="240" w:lineRule="exact"/>
        <w:jc w:val="center"/>
        <w:rPr>
          <w:b/>
          <w:sz w:val="18"/>
        </w:rPr>
      </w:pPr>
      <w:r w:rsidRPr="00F90443">
        <w:rPr>
          <w:b/>
          <w:sz w:val="18"/>
        </w:rPr>
        <w:t>Heffing</w:t>
      </w:r>
    </w:p>
    <w:p w:rsidR="001D4B76" w:rsidRPr="00F90443" w:rsidRDefault="001D4B76" w:rsidP="001D4B76">
      <w:pPr>
        <w:tabs>
          <w:tab w:val="left" w:pos="284"/>
        </w:tabs>
        <w:spacing w:line="240" w:lineRule="exact"/>
        <w:rPr>
          <w:sz w:val="18"/>
        </w:rPr>
      </w:pPr>
    </w:p>
    <w:p w:rsidR="001D4B76" w:rsidRDefault="001D4B76" w:rsidP="001D4B76">
      <w:pPr>
        <w:spacing w:line="240" w:lineRule="exact"/>
        <w:ind w:left="426" w:hanging="426"/>
        <w:rPr>
          <w:rFonts w:cs="Arial"/>
          <w:sz w:val="18"/>
          <w:szCs w:val="18"/>
        </w:rPr>
      </w:pPr>
      <w:r w:rsidRPr="00F90443">
        <w:rPr>
          <w:rFonts w:cs="Arial"/>
          <w:sz w:val="18"/>
          <w:szCs w:val="18"/>
        </w:rPr>
        <w:t>1.</w:t>
      </w:r>
      <w:r w:rsidRPr="00F90443">
        <w:rPr>
          <w:rFonts w:cs="Arial"/>
          <w:sz w:val="18"/>
          <w:szCs w:val="18"/>
        </w:rPr>
        <w:tab/>
        <w:t>De door de werkgever in het kader van de garantieregeling af te drag</w:t>
      </w:r>
      <w:r>
        <w:rPr>
          <w:rFonts w:cs="Arial"/>
          <w:sz w:val="18"/>
          <w:szCs w:val="18"/>
        </w:rPr>
        <w:t xml:space="preserve">en bijdrage is voor 2014 vastgesteld op 0% van de premiegrondslag. </w:t>
      </w:r>
    </w:p>
    <w:p w:rsidR="001D4B76" w:rsidRPr="00F90443" w:rsidRDefault="001D4B76" w:rsidP="001D4B76">
      <w:pPr>
        <w:spacing w:line="240" w:lineRule="exact"/>
        <w:ind w:left="426" w:hanging="426"/>
        <w:rPr>
          <w:sz w:val="18"/>
        </w:rPr>
      </w:pPr>
      <w:r w:rsidRPr="00F90443">
        <w:rPr>
          <w:sz w:val="18"/>
        </w:rPr>
        <w:t>2.</w:t>
      </w:r>
      <w:r w:rsidRPr="00F90443">
        <w:rPr>
          <w:sz w:val="18"/>
        </w:rPr>
        <w:tab/>
        <w:t>Onder de premiegrondslag wordt verstaan 12 maal het salaris per maand verhoogd met 8% ter zake van de vakantietoeslag.</w:t>
      </w:r>
    </w:p>
    <w:p w:rsidR="001D4B76" w:rsidRPr="00F90443" w:rsidRDefault="001D4B76" w:rsidP="001D4B76">
      <w:pPr>
        <w:spacing w:line="240" w:lineRule="exact"/>
        <w:ind w:left="426" w:hanging="426"/>
        <w:rPr>
          <w:sz w:val="18"/>
        </w:rPr>
      </w:pPr>
      <w:r w:rsidRPr="00F90443">
        <w:rPr>
          <w:sz w:val="18"/>
        </w:rPr>
        <w:t>3.</w:t>
      </w:r>
      <w:r w:rsidRPr="00F90443">
        <w:rPr>
          <w:sz w:val="18"/>
        </w:rPr>
        <w:tab/>
        <w:t>Als salaris wordt hierbij in aanmerking genomen het vaste bruto basissalaris, met inbegrip van eventuele vaste toeslagen, dat bij aanvang van het deelnemerschap, respectievelijk op 1 januari, geldt of nadien met tot die datumterugwerkende kracht wordt vastgesteld op grond van de collectieve arbeidsovereenkomst.</w:t>
      </w:r>
    </w:p>
    <w:p w:rsidR="001D4B76" w:rsidRPr="00F90443" w:rsidRDefault="001D4B76" w:rsidP="001D4B76">
      <w:pPr>
        <w:spacing w:line="240" w:lineRule="exact"/>
        <w:ind w:left="426" w:hanging="426"/>
        <w:rPr>
          <w:sz w:val="18"/>
        </w:rPr>
      </w:pPr>
      <w:r w:rsidRPr="00F90443">
        <w:rPr>
          <w:sz w:val="18"/>
        </w:rPr>
        <w:t>4.</w:t>
      </w:r>
      <w:r w:rsidRPr="00F90443">
        <w:rPr>
          <w:sz w:val="18"/>
        </w:rPr>
        <w:tab/>
        <w:t>Onder vaste toeslagen moeten worden verstaan de in de bedrijfstak gebruikelijke ploegentoeslag, diensttijdentoeslag, EHBO-toeslag, diplomatoeslag voor een VEV-diploma of een vakexamendiploma van de Stichting Hout. Verder worden in aanmerking genomen een toeslag voor overwerk volgens een vast rooster, meerverdiensten uit hoofde van een tarief en waarderingsbeloning, toeslag wegens nachtarbeid, gratificaties, winstdelingsuitkeringen en andere emolumenten die een vast loonbestanddeel betreffen.</w:t>
      </w:r>
    </w:p>
    <w:p w:rsidR="001D4B76" w:rsidRPr="00F90443" w:rsidRDefault="001D4B76" w:rsidP="001D4B76">
      <w:pPr>
        <w:spacing w:line="240" w:lineRule="exact"/>
        <w:ind w:left="426" w:hanging="426"/>
        <w:rPr>
          <w:sz w:val="18"/>
        </w:rPr>
      </w:pPr>
      <w:r w:rsidRPr="00F90443">
        <w:rPr>
          <w:sz w:val="18"/>
        </w:rPr>
        <w:t>5.</w:t>
      </w:r>
      <w:r w:rsidRPr="00F90443">
        <w:rPr>
          <w:sz w:val="18"/>
        </w:rPr>
        <w:tab/>
        <w:t>De premiegr</w:t>
      </w:r>
      <w:r>
        <w:rPr>
          <w:sz w:val="18"/>
        </w:rPr>
        <w:t>ondslag wordt gemaximeerd</w:t>
      </w:r>
      <w:r w:rsidRPr="00F90443">
        <w:rPr>
          <w:sz w:val="18"/>
        </w:rPr>
        <w:t xml:space="preserve">. Dit maximum wordt jaarlijks verhoogd met de loonontwikkeling in de bedrijfstak. Deze verhoging vindt jaarlijks per 1 januari plaats, en wel met het percentage waarmee de lonen op 1 oktober van het laatstverstreken kalenderjaar zijn gestegen ten opzichte van 1 oktober van het daaraan voorafgaande kalenderjaar. Dit percentage wordt door of namens CAO-partijen bij de CAO </w:t>
      </w:r>
      <w:r>
        <w:rPr>
          <w:sz w:val="18"/>
        </w:rPr>
        <w:t xml:space="preserve">Garantieregeling vervroegd uittreden </w:t>
      </w:r>
      <w:r w:rsidRPr="00F90443">
        <w:rPr>
          <w:sz w:val="18"/>
        </w:rPr>
        <w:t>voor de Houtverwerkende Industrie bepaald.</w:t>
      </w:r>
    </w:p>
    <w:p w:rsidR="001D4B76" w:rsidRPr="00F90443" w:rsidRDefault="001D4B76" w:rsidP="001D4B76">
      <w:pPr>
        <w:spacing w:line="240" w:lineRule="exact"/>
        <w:rPr>
          <w:sz w:val="18"/>
        </w:rPr>
      </w:pPr>
    </w:p>
    <w:p w:rsidR="001D4B76" w:rsidRPr="00F90443" w:rsidRDefault="001D4B76" w:rsidP="001D4B76">
      <w:pPr>
        <w:spacing w:line="240" w:lineRule="exact"/>
        <w:rPr>
          <w:sz w:val="18"/>
        </w:rPr>
      </w:pPr>
    </w:p>
    <w:p w:rsidR="001D4B76" w:rsidRPr="00F9492D" w:rsidRDefault="001D4B76" w:rsidP="001D4B76">
      <w:pPr>
        <w:spacing w:line="240" w:lineRule="exact"/>
        <w:jc w:val="center"/>
        <w:rPr>
          <w:b/>
          <w:sz w:val="18"/>
        </w:rPr>
      </w:pPr>
      <w:r w:rsidRPr="00F9492D">
        <w:rPr>
          <w:b/>
          <w:sz w:val="18"/>
        </w:rPr>
        <w:t>Artikel 8</w:t>
      </w:r>
    </w:p>
    <w:p w:rsidR="001D4B76" w:rsidRPr="00F9492D" w:rsidRDefault="001D4B76" w:rsidP="001D4B76">
      <w:pPr>
        <w:tabs>
          <w:tab w:val="left" w:pos="284"/>
        </w:tabs>
        <w:spacing w:line="240" w:lineRule="exact"/>
        <w:jc w:val="center"/>
        <w:rPr>
          <w:b/>
          <w:sz w:val="18"/>
        </w:rPr>
      </w:pPr>
      <w:r w:rsidRPr="00F9492D">
        <w:rPr>
          <w:b/>
          <w:sz w:val="18"/>
        </w:rPr>
        <w:t>Looptijd</w:t>
      </w:r>
    </w:p>
    <w:p w:rsidR="001D4B76" w:rsidRPr="00F9492D" w:rsidRDefault="001D4B76" w:rsidP="001D4B76">
      <w:pPr>
        <w:tabs>
          <w:tab w:val="left" w:pos="284"/>
        </w:tabs>
        <w:spacing w:line="240" w:lineRule="exact"/>
        <w:rPr>
          <w:sz w:val="18"/>
        </w:rPr>
      </w:pPr>
    </w:p>
    <w:p w:rsidR="001D4B76" w:rsidRPr="00F9492D" w:rsidRDefault="001D4B76" w:rsidP="001D4B76">
      <w:pPr>
        <w:spacing w:line="240" w:lineRule="exact"/>
        <w:rPr>
          <w:sz w:val="18"/>
        </w:rPr>
      </w:pPr>
      <w:r w:rsidRPr="00F9492D">
        <w:rPr>
          <w:sz w:val="18"/>
        </w:rPr>
        <w:t>Deze overeenkomst gaat in op 1 januari 20</w:t>
      </w:r>
      <w:r>
        <w:rPr>
          <w:sz w:val="18"/>
        </w:rPr>
        <w:t>14</w:t>
      </w:r>
      <w:r w:rsidRPr="00F9492D">
        <w:rPr>
          <w:sz w:val="18"/>
        </w:rPr>
        <w:t xml:space="preserve"> en eindigt op 31 december 201</w:t>
      </w:r>
      <w:r>
        <w:rPr>
          <w:sz w:val="18"/>
        </w:rPr>
        <w:t>4</w:t>
      </w:r>
      <w:r w:rsidRPr="00F9492D">
        <w:rPr>
          <w:sz w:val="18"/>
        </w:rPr>
        <w:t xml:space="preserve"> zonder dat daarvoor opzegging noodzakelijk is.</w:t>
      </w:r>
    </w:p>
    <w:p w:rsidR="001D4B76" w:rsidRPr="00E61632" w:rsidRDefault="001D4B76" w:rsidP="001D4B76">
      <w:pPr>
        <w:rPr>
          <w:rFonts w:cs="Arial"/>
          <w:sz w:val="18"/>
          <w:szCs w:val="18"/>
        </w:rPr>
      </w:pPr>
      <w:r>
        <w:rPr>
          <w:strike/>
          <w:vanish/>
        </w:rPr>
        <w:br w:type="page"/>
      </w:r>
      <w:r w:rsidRPr="00E61632" w:rsidDel="00F9492D">
        <w:rPr>
          <w:rFonts w:cs="Arial"/>
          <w:sz w:val="18"/>
          <w:szCs w:val="18"/>
        </w:rPr>
        <w:t xml:space="preserve"> </w:t>
      </w:r>
    </w:p>
    <w:p w:rsidR="001D4B76" w:rsidRPr="00397722" w:rsidRDefault="001D4B76" w:rsidP="001D4B76">
      <w:pPr>
        <w:rPr>
          <w:strike/>
          <w:vanish/>
        </w:rPr>
      </w:pPr>
    </w:p>
    <w:p w:rsidR="001D4B76" w:rsidRPr="00765A2F" w:rsidRDefault="001D4B76" w:rsidP="001D4B76"/>
    <w:p w:rsidR="009E0536" w:rsidRPr="001D4B76" w:rsidRDefault="009E0536" w:rsidP="001D4B76"/>
    <w:sectPr w:rsidR="009E0536" w:rsidRPr="001D4B76" w:rsidSect="00765A2F">
      <w:footerReference w:type="default" r:id="rId11"/>
      <w:footerReference w:type="first" r:id="rId12"/>
      <w:pgSz w:w="11906" w:h="16838" w:code="9"/>
      <w:pgMar w:top="2268" w:right="2268" w:bottom="2268"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23" w:rsidRDefault="00635A23" w:rsidP="00635A23">
      <w:r>
        <w:separator/>
      </w:r>
    </w:p>
  </w:endnote>
  <w:endnote w:type="continuationSeparator" w:id="0">
    <w:p w:rsidR="00635A23" w:rsidRDefault="00635A23" w:rsidP="00635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27" w:rsidRPr="008E2C31" w:rsidRDefault="001D4B76" w:rsidP="00BA78CB">
    <w:pPr>
      <w:pStyle w:val="Voettekst"/>
      <w:jc w:val="right"/>
      <w:rPr>
        <w:rFonts w:ascii="Arial" w:hAnsi="Arial" w:cs="Arial"/>
        <w:sz w:val="20"/>
      </w:rPr>
    </w:pPr>
    <w:r w:rsidRPr="008E2C31">
      <w:rPr>
        <w:rFonts w:ascii="Arial" w:hAnsi="Arial" w:cs="Arial"/>
        <w:noProof/>
        <w:sz w:val="20"/>
      </w:rPr>
      <w:t>uhi</w:t>
    </w:r>
    <w:r w:rsidRPr="008E2C31">
      <w:rPr>
        <w:rFonts w:ascii="Arial" w:hAnsi="Arial" w:cs="Arial"/>
        <w:noProof/>
        <w:sz w:val="20"/>
        <w:lang w:val="en-US"/>
      </w:rPr>
      <w:t>.div.</w:t>
    </w:r>
    <w:r w:rsidRPr="008E2C31">
      <w:rPr>
        <w:rFonts w:ascii="Arial" w:hAnsi="Arial" w:cs="Arial"/>
        <w:noProof/>
        <w:sz w:val="20"/>
      </w:rPr>
      <w:t>23</w:t>
    </w:r>
    <w:r w:rsidRPr="008E2C31">
      <w:rPr>
        <w:rFonts w:ascii="Arial" w:hAnsi="Arial" w:cs="Arial"/>
        <w:sz w:val="20"/>
      </w:rPr>
      <w:t xml:space="preserve"> - </w:t>
    </w:r>
    <w:r w:rsidR="00635A23" w:rsidRPr="008E2C31">
      <w:rPr>
        <w:rFonts w:ascii="Arial" w:hAnsi="Arial" w:cs="Arial"/>
        <w:sz w:val="20"/>
      </w:rPr>
      <w:fldChar w:fldCharType="begin"/>
    </w:r>
    <w:r w:rsidRPr="008E2C31">
      <w:rPr>
        <w:rFonts w:ascii="Arial" w:hAnsi="Arial" w:cs="Arial"/>
        <w:sz w:val="20"/>
      </w:rPr>
      <w:instrText xml:space="preserve"> PAGE </w:instrText>
    </w:r>
    <w:r w:rsidR="00635A23" w:rsidRPr="008E2C31">
      <w:rPr>
        <w:rFonts w:ascii="Arial" w:hAnsi="Arial" w:cs="Arial"/>
        <w:sz w:val="20"/>
      </w:rPr>
      <w:fldChar w:fldCharType="separate"/>
    </w:r>
    <w:r w:rsidR="00B85EE1">
      <w:rPr>
        <w:rFonts w:ascii="Arial" w:hAnsi="Arial" w:cs="Arial"/>
        <w:noProof/>
        <w:sz w:val="20"/>
      </w:rPr>
      <w:t>6</w:t>
    </w:r>
    <w:r w:rsidR="00635A23" w:rsidRPr="008E2C31">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27" w:rsidRDefault="001D4B76" w:rsidP="00FC6C3F">
    <w:pPr>
      <w:pStyle w:val="Voettekst"/>
      <w:jc w:val="right"/>
    </w:pPr>
    <w:r>
      <w:rPr>
        <w:noProof/>
      </w:rPr>
      <w:t>uhi</w:t>
    </w:r>
    <w:r>
      <w:rPr>
        <w:noProof/>
        <w:lang w:val="en-US"/>
      </w:rPr>
      <w:t>.div.</w:t>
    </w:r>
    <w:r>
      <w:rPr>
        <w:noProof/>
      </w:rPr>
      <w:t>23</w:t>
    </w:r>
    <w:r>
      <w:t xml:space="preserve"> - </w:t>
    </w:r>
    <w:r w:rsidR="00635A23">
      <w:fldChar w:fldCharType="begin"/>
    </w:r>
    <w:r>
      <w:instrText xml:space="preserve"> PAGE </w:instrText>
    </w:r>
    <w:r w:rsidR="00635A23">
      <w:fldChar w:fldCharType="separate"/>
    </w:r>
    <w:r w:rsidR="00B85EE1">
      <w:rPr>
        <w:noProof/>
      </w:rPr>
      <w:t>1</w:t>
    </w:r>
    <w:r w:rsidR="00635A2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23" w:rsidRDefault="00635A23" w:rsidP="00635A23">
      <w:r>
        <w:separator/>
      </w:r>
    </w:p>
  </w:footnote>
  <w:footnote w:type="continuationSeparator" w:id="0">
    <w:p w:rsidR="00635A23" w:rsidRDefault="00635A23" w:rsidP="00635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AED"/>
    <w:multiLevelType w:val="multilevel"/>
    <w:tmpl w:val="EC0875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1F216DC7"/>
    <w:multiLevelType w:val="hybridMultilevel"/>
    <w:tmpl w:val="D1B83308"/>
    <w:lvl w:ilvl="0" w:tplc="0413000F">
      <w:start w:val="1"/>
      <w:numFmt w:val="decimal"/>
      <w:lvlText w:val="%1."/>
      <w:lvlJc w:val="left"/>
      <w:pPr>
        <w:tabs>
          <w:tab w:val="num" w:pos="720"/>
        </w:tabs>
        <w:ind w:left="720" w:hanging="360"/>
      </w:pPr>
    </w:lvl>
    <w:lvl w:ilvl="1" w:tplc="320426F8">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B3F12FC"/>
    <w:multiLevelType w:val="singleLevel"/>
    <w:tmpl w:val="DCEE229C"/>
    <w:lvl w:ilvl="0">
      <w:start w:val="10"/>
      <w:numFmt w:val="decimal"/>
      <w:lvlText w:val="%1."/>
      <w:lvlJc w:val="left"/>
      <w:pPr>
        <w:tabs>
          <w:tab w:val="num" w:pos="1275"/>
        </w:tabs>
        <w:ind w:left="1275" w:hanging="420"/>
      </w:pPr>
    </w:lvl>
  </w:abstractNum>
  <w:abstractNum w:abstractNumId="3">
    <w:nsid w:val="493C480F"/>
    <w:multiLevelType w:val="singleLevel"/>
    <w:tmpl w:val="6F384CCC"/>
    <w:lvl w:ilvl="0">
      <w:start w:val="1"/>
      <w:numFmt w:val="lowerLetter"/>
      <w:lvlText w:val="%1."/>
      <w:lvlJc w:val="left"/>
      <w:pPr>
        <w:tabs>
          <w:tab w:val="num" w:pos="1020"/>
        </w:tabs>
        <w:ind w:left="1020" w:hanging="600"/>
      </w:pPr>
    </w:lvl>
  </w:abstractNum>
  <w:abstractNum w:abstractNumId="4">
    <w:nsid w:val="664377BD"/>
    <w:multiLevelType w:val="singleLevel"/>
    <w:tmpl w:val="9366221A"/>
    <w:lvl w:ilvl="0">
      <w:start w:val="1"/>
      <w:numFmt w:val="lowerLetter"/>
      <w:lvlText w:val="%1."/>
      <w:lvlJc w:val="left"/>
      <w:pPr>
        <w:tabs>
          <w:tab w:val="num" w:pos="360"/>
        </w:tabs>
        <w:ind w:left="360" w:hanging="360"/>
      </w:pPr>
    </w:lvl>
  </w:abstractNum>
  <w:abstractNum w:abstractNumId="5">
    <w:nsid w:val="6D367E29"/>
    <w:multiLevelType w:val="singleLevel"/>
    <w:tmpl w:val="EE943B34"/>
    <w:lvl w:ilvl="0">
      <w:start w:val="3"/>
      <w:numFmt w:val="bullet"/>
      <w:lvlText w:val="-"/>
      <w:lvlJc w:val="left"/>
      <w:pPr>
        <w:tabs>
          <w:tab w:val="num" w:pos="420"/>
        </w:tabs>
        <w:ind w:left="420" w:hanging="420"/>
      </w:pPr>
      <w:rPr>
        <w:rFonts w:ascii="Times New Roman" w:hAnsi="Times New Roman" w:cs="Times New Roman" w:hint="default"/>
        <w:i w:val="0"/>
      </w:rPr>
    </w:lvl>
  </w:abstractNum>
  <w:abstractNum w:abstractNumId="6">
    <w:nsid w:val="6EF75B3D"/>
    <w:multiLevelType w:val="singleLevel"/>
    <w:tmpl w:val="9366221A"/>
    <w:lvl w:ilvl="0">
      <w:start w:val="1"/>
      <w:numFmt w:val="lowerLetter"/>
      <w:lvlText w:val="%1."/>
      <w:lvlJc w:val="left"/>
      <w:pPr>
        <w:tabs>
          <w:tab w:val="num" w:pos="360"/>
        </w:tabs>
        <w:ind w:left="360" w:hanging="360"/>
      </w:pPr>
    </w:lvl>
  </w:abstractNum>
  <w:num w:numId="1">
    <w:abstractNumId w:val="3"/>
    <w:lvlOverride w:ilvl="0">
      <w:startOverride w:val="1"/>
    </w:lvlOverride>
  </w:num>
  <w:num w:numId="2">
    <w:abstractNumId w:val="2"/>
    <w:lvlOverride w:ilvl="0">
      <w:startOverride w:val="10"/>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1D4B76"/>
    <w:rsid w:val="000A5408"/>
    <w:rsid w:val="000E6CB4"/>
    <w:rsid w:val="000F0088"/>
    <w:rsid w:val="00116882"/>
    <w:rsid w:val="00116FE9"/>
    <w:rsid w:val="00122FB5"/>
    <w:rsid w:val="001D4B76"/>
    <w:rsid w:val="002A2091"/>
    <w:rsid w:val="002D73AD"/>
    <w:rsid w:val="002F5273"/>
    <w:rsid w:val="003370C1"/>
    <w:rsid w:val="00385407"/>
    <w:rsid w:val="003B627C"/>
    <w:rsid w:val="004723B9"/>
    <w:rsid w:val="005F2CF8"/>
    <w:rsid w:val="005F7F10"/>
    <w:rsid w:val="00635A23"/>
    <w:rsid w:val="00683659"/>
    <w:rsid w:val="006B3604"/>
    <w:rsid w:val="006B6EE0"/>
    <w:rsid w:val="0071563E"/>
    <w:rsid w:val="007F5631"/>
    <w:rsid w:val="00837617"/>
    <w:rsid w:val="00846943"/>
    <w:rsid w:val="008F5C0E"/>
    <w:rsid w:val="00933091"/>
    <w:rsid w:val="00956698"/>
    <w:rsid w:val="009E0536"/>
    <w:rsid w:val="00A35AF7"/>
    <w:rsid w:val="00AD2A14"/>
    <w:rsid w:val="00B54A59"/>
    <w:rsid w:val="00B605B7"/>
    <w:rsid w:val="00B85EE1"/>
    <w:rsid w:val="00C45003"/>
    <w:rsid w:val="00CB7DD9"/>
    <w:rsid w:val="00CE3A70"/>
    <w:rsid w:val="00D231A1"/>
    <w:rsid w:val="00DD1F60"/>
    <w:rsid w:val="00E6058C"/>
    <w:rsid w:val="00FC7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46943"/>
    <w:rPr>
      <w:rFonts w:ascii="Arial" w:hAnsi="Arial"/>
    </w:rPr>
  </w:style>
  <w:style w:type="paragraph" w:styleId="Kop1">
    <w:name w:val="heading 1"/>
    <w:basedOn w:val="Standaard"/>
    <w:next w:val="Standaard"/>
    <w:qFormat/>
    <w:rsid w:val="009E0536"/>
    <w:pPr>
      <w:keepNext/>
      <w:ind w:left="851" w:hanging="851"/>
      <w:outlineLvl w:val="0"/>
    </w:pPr>
    <w:rPr>
      <w:b/>
      <w:caps/>
      <w:kern w:val="28"/>
    </w:rPr>
  </w:style>
  <w:style w:type="paragraph" w:styleId="Kop2">
    <w:name w:val="heading 2"/>
    <w:basedOn w:val="Kop1"/>
    <w:next w:val="Standaard"/>
    <w:qFormat/>
    <w:rsid w:val="009E0536"/>
    <w:pPr>
      <w:outlineLvl w:val="1"/>
    </w:pPr>
    <w:rPr>
      <w:caps w:val="0"/>
    </w:rPr>
  </w:style>
  <w:style w:type="paragraph" w:styleId="Kop3">
    <w:name w:val="heading 3"/>
    <w:basedOn w:val="Kop2"/>
    <w:next w:val="Standaard"/>
    <w:qFormat/>
    <w:rsid w:val="009E0536"/>
    <w:pPr>
      <w:outlineLvl w:val="2"/>
    </w:pPr>
    <w:rPr>
      <w:b w:val="0"/>
    </w:rPr>
  </w:style>
  <w:style w:type="paragraph" w:styleId="Kop4">
    <w:name w:val="heading 4"/>
    <w:basedOn w:val="Kop3"/>
    <w:next w:val="Standaard"/>
    <w:qFormat/>
    <w:rsid w:val="009E0536"/>
    <w:pPr>
      <w:outlineLvl w:val="3"/>
    </w:pPr>
    <w:rPr>
      <w:i/>
    </w:rPr>
  </w:style>
  <w:style w:type="paragraph" w:styleId="Kop5">
    <w:name w:val="heading 5"/>
    <w:basedOn w:val="Standaard"/>
    <w:next w:val="Standaard"/>
    <w:qFormat/>
    <w:rsid w:val="009E0536"/>
    <w:pPr>
      <w:spacing w:before="240" w:after="60" w:line="260" w:lineRule="atLeast"/>
      <w:outlineLvl w:val="4"/>
    </w:pPr>
    <w:rPr>
      <w:rFonts w:ascii="Palatino" w:hAnsi="Palatino"/>
    </w:rPr>
  </w:style>
  <w:style w:type="paragraph" w:styleId="Kop6">
    <w:name w:val="heading 6"/>
    <w:basedOn w:val="Standaard"/>
    <w:next w:val="Standaard"/>
    <w:qFormat/>
    <w:rsid w:val="009E0536"/>
    <w:pPr>
      <w:spacing w:before="240" w:after="60" w:line="260" w:lineRule="atLeast"/>
      <w:outlineLvl w:val="5"/>
    </w:pPr>
    <w:rPr>
      <w:i/>
    </w:rPr>
  </w:style>
  <w:style w:type="paragraph" w:styleId="Kop7">
    <w:name w:val="heading 7"/>
    <w:basedOn w:val="Standaard"/>
    <w:next w:val="Standaard"/>
    <w:qFormat/>
    <w:rsid w:val="009E0536"/>
    <w:pPr>
      <w:spacing w:before="240" w:after="60" w:line="260" w:lineRule="atLeast"/>
      <w:outlineLvl w:val="6"/>
    </w:pPr>
  </w:style>
  <w:style w:type="paragraph" w:styleId="Kop8">
    <w:name w:val="heading 8"/>
    <w:basedOn w:val="Standaard"/>
    <w:next w:val="Standaard"/>
    <w:qFormat/>
    <w:rsid w:val="009E0536"/>
    <w:pPr>
      <w:spacing w:before="240" w:after="60" w:line="260" w:lineRule="atLeast"/>
      <w:outlineLvl w:val="7"/>
    </w:pPr>
    <w:rPr>
      <w:i/>
    </w:rPr>
  </w:style>
  <w:style w:type="paragraph" w:styleId="Kop9">
    <w:name w:val="heading 9"/>
    <w:basedOn w:val="Standaard"/>
    <w:next w:val="Standaard"/>
    <w:qFormat/>
    <w:rsid w:val="009E0536"/>
    <w:pPr>
      <w:spacing w:before="240" w:after="60" w:line="260" w:lineRule="atLeas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0536"/>
    <w:pPr>
      <w:tabs>
        <w:tab w:val="center" w:pos="4536"/>
        <w:tab w:val="right" w:pos="9072"/>
      </w:tabs>
    </w:pPr>
  </w:style>
  <w:style w:type="paragraph" w:styleId="Voettekst">
    <w:name w:val="footer"/>
    <w:basedOn w:val="Standaard"/>
    <w:link w:val="VoettekstChar"/>
    <w:rsid w:val="001D4B76"/>
    <w:pPr>
      <w:tabs>
        <w:tab w:val="center" w:pos="4536"/>
        <w:tab w:val="right" w:pos="9072"/>
      </w:tabs>
      <w:spacing w:line="260" w:lineRule="atLeast"/>
    </w:pPr>
    <w:rPr>
      <w:rFonts w:ascii="Palatino" w:hAnsi="Palatino"/>
      <w:sz w:val="22"/>
    </w:rPr>
  </w:style>
  <w:style w:type="character" w:customStyle="1" w:styleId="VoettekstChar">
    <w:name w:val="Voettekst Char"/>
    <w:basedOn w:val="Standaardalinea-lettertype"/>
    <w:link w:val="Voettekst"/>
    <w:rsid w:val="001D4B76"/>
    <w:rPr>
      <w:rFonts w:ascii="Palatino" w:hAnsi="Palatino"/>
      <w:sz w:val="22"/>
    </w:rPr>
  </w:style>
  <w:style w:type="paragraph" w:styleId="Plattetekstinspringen3">
    <w:name w:val="Body Text Indent 3"/>
    <w:basedOn w:val="Standaard"/>
    <w:link w:val="Plattetekstinspringen3Char"/>
    <w:rsid w:val="001D4B76"/>
    <w:pPr>
      <w:tabs>
        <w:tab w:val="left" w:pos="426"/>
      </w:tabs>
      <w:spacing w:line="260" w:lineRule="atLeast"/>
      <w:ind w:left="426" w:hanging="426"/>
    </w:pPr>
    <w:rPr>
      <w:rFonts w:cs="Arial"/>
      <w:sz w:val="18"/>
      <w:szCs w:val="18"/>
    </w:rPr>
  </w:style>
  <w:style w:type="character" w:customStyle="1" w:styleId="Plattetekstinspringen3Char">
    <w:name w:val="Platte tekst inspringen 3 Char"/>
    <w:basedOn w:val="Standaardalinea-lettertype"/>
    <w:link w:val="Plattetekstinspringen3"/>
    <w:rsid w:val="001D4B76"/>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ergadering xmlns="327f885b-73ba-460b-9165-7dc1d59f21c4" xsi:nil="true"/>
    <Contactpersoon_x002f_Behandelaar xmlns="327f885b-73ba-460b-9165-7dc1d59f21c4">Sytse Elgersma</Contactpersoon_x002f_Behandelaar>
    <Datum_x0020_volgende_x0020_vergadering xmlns="327f885b-73ba-460b-9165-7dc1d59f21c4" xsi:nil="true"/>
    <Agendapunt xmlns="327f885b-73ba-460b-9165-7dc1d59f21c4" xsi:nil="true"/>
    <SyncDestinations xmlns="00e51766-c097-4016-b2c9-f764c1b9e80d" xsi:nil="true"/>
    <wx_documentnummer xmlns="a85e025c-6a71-4f4a-a309-b65166e86ee7">13383914</wx_documentnummer>
    <Vergadergroep xmlns="327f885b-73ba-460b-9165-7dc1d59f21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Actielijst" ma:contentTypeID="0x0101008D9735EC3BFF4768896A45CEB68EE134007265B4E295F6E04CA204602DFF988C940200E92DE0632B88A140B1E7CB709D0B7B3E" ma:contentTypeVersion="10" ma:contentTypeDescription="" ma:contentTypeScope="" ma:versionID="031b8a1d6b2f3f10879660f165521a21">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164393907245d148b2c87079dc5e7431"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3:SyncDestinations" minOccurs="0"/>
                <xsd:element ref="ns4: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xsd:simpleType>
        <xsd:restriction base="dms:Text">
          <xsd:maxLength value="255"/>
        </xsd:restriction>
      </xsd:simpleType>
    </xsd:element>
    <xsd:element name="Agendapunt" ma:index="3" nillable="true" ma:displayName="Agendapunt" ma:internalName="Agendapunt">
      <xsd:simpleType>
        <xsd:restriction base="dms:Text">
          <xsd:maxLength value="255"/>
        </xsd:restriction>
      </xsd:simpleType>
    </xsd:element>
    <xsd:element name="Contactpersoon_x002f_Behandelaar" ma:index="4" nillable="true" ma:displayName="Contactpersoon/Behandelaar" ma:default="Sytse Elgersma" ma:format="Dropdown" ma:internalName="Contactpersoon_x002F_Behandelaar">
      <xsd:simpleType>
        <xsd:restriction base="dms:Choice">
          <xsd:enumeration value="Jan Aarts"/>
          <xsd:enumeration value="Jamiela Ahajjam"/>
          <xsd:enumeration value="Dorothé van den Aker"/>
          <xsd:enumeration value="Mirjam Bekius"/>
          <xsd:enumeration value="Iris van Bemmel"/>
          <xsd:enumeration value="Irene Bex"/>
          <xsd:enumeration value="Mariëtte Bosman"/>
          <xsd:enumeration value="Floor Buckens"/>
          <xsd:enumeration value="Fred Burnet"/>
          <xsd:enumeration value="Fons Ceelaert"/>
          <xsd:enumeration value="Charlotte Dassen"/>
          <xsd:enumeration value="Willem Ebbens"/>
          <xsd:enumeration value="Sytse Elgersma"/>
          <xsd:enumeration value="Ellen van Esch"/>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Martin Honcoop"/>
          <xsd:enumeration value="Elly Huijs"/>
          <xsd:enumeration value="Roland Huisman"/>
          <xsd:enumeration value="Carmen de Jonge"/>
          <xsd:enumeration value="Sytske Jonkman"/>
          <xsd:enumeration value="Marian Koelman"/>
          <xsd:enumeration value="Ton de Kok"/>
          <xsd:enumeration value="Liesbeth Kolen"/>
          <xsd:enumeration value="Chris de Kruyf"/>
          <xsd:enumeration value="Monique Kuijpers"/>
          <xsd:enumeration value="Marion van der Laan"/>
          <xsd:enumeration value="Willem-Jan Lieve"/>
          <xsd:enumeration value="Karlijn Loots"/>
          <xsd:enumeration value="Daniëlle Mares"/>
          <xsd:enumeration value="Mariëlle Neggers"/>
          <xsd:enumeration value="Tineke Nieborg"/>
          <xsd:enumeration value="Suzanne van Noort"/>
          <xsd:enumeration value="Maarten Pieké"/>
          <xsd:enumeration value="Barbara Poppelaars"/>
          <xsd:enumeration value="Bas van Rooij"/>
          <xsd:enumeration value="Roelf van Run"/>
          <xsd:enumeration value="Mariëlle Scheepens"/>
          <xsd:enumeration value="Giel Schikhof"/>
          <xsd:enumeration value="Anita van der Schuur"/>
          <xsd:enumeration value="Monique van Spijk"/>
          <xsd:enumeration value="Kirsten Timmer"/>
          <xsd:enumeration value="Paul Valk"/>
          <xsd:enumeration value="Stefanie de Veer"/>
          <xsd:enumeration value="Miranda de Veij"/>
          <xsd:enumeration value="Arie van der Ven"/>
          <xsd:enumeration value="Babette Verhagen"/>
          <xsd:enumeration value="Miel Veugelers"/>
          <xsd:enumeration value="Jolet Woordes"/>
        </xsd:restriction>
      </xsd:simpleType>
    </xsd:element>
    <xsd:element name="Datum_x0020_vergadering" ma:index="5" nillable="true" ma:displayName="Datum vergadering" ma:format="DateOnly" ma:internalName="Datum_x0020_vergadering">
      <xsd:simpleType>
        <xsd:restriction base="dms:DateTime"/>
      </xsd:simpleType>
    </xsd:element>
    <xsd:element name="Datum_x0020_volgende_x0020_vergadering" ma:index="6" nillable="true" ma:displayName="Datum volgende vergadering" ma:format="DateOnly" ma:internalName="Datum_x0020_volgende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7"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4"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DF88E-B5E6-4EBC-91B4-C6FA2768B9B2}">
  <ds:schemaRefs>
    <ds:schemaRef ds:uri="http://schemas.microsoft.com/office/2006/metadata/properties"/>
    <ds:schemaRef ds:uri="http://schemas.microsoft.com/office/infopath/2007/PartnerControls"/>
    <ds:schemaRef ds:uri="327f885b-73ba-460b-9165-7dc1d59f21c4"/>
    <ds:schemaRef ds:uri="00e51766-c097-4016-b2c9-f764c1b9e80d"/>
    <ds:schemaRef ds:uri="a85e025c-6a71-4f4a-a309-b65166e86ee7"/>
  </ds:schemaRefs>
</ds:datastoreItem>
</file>

<file path=customXml/itemProps2.xml><?xml version="1.0" encoding="utf-8"?>
<ds:datastoreItem xmlns:ds="http://schemas.openxmlformats.org/officeDocument/2006/customXml" ds:itemID="{7D5D4B35-C028-46B5-B818-631E734715F4}">
  <ds:schemaRefs>
    <ds:schemaRef ds:uri="http://schemas.microsoft.com/sharepoint/v3/contenttype/forms"/>
  </ds:schemaRefs>
</ds:datastoreItem>
</file>

<file path=customXml/itemProps3.xml><?xml version="1.0" encoding="utf-8"?>
<ds:datastoreItem xmlns:ds="http://schemas.openxmlformats.org/officeDocument/2006/customXml" ds:itemID="{D6E3DFF3-5A08-46D1-BDF2-A07E78F0B88E}">
  <ds:schemaRefs>
    <ds:schemaRef ds:uri="http://schemas.microsoft.com/sharepoint/events"/>
  </ds:schemaRefs>
</ds:datastoreItem>
</file>

<file path=customXml/itemProps4.xml><?xml version="1.0" encoding="utf-8"?>
<ds:datastoreItem xmlns:ds="http://schemas.openxmlformats.org/officeDocument/2006/customXml" ds:itemID="{0272EFF3-5B1D-465F-9651-4197BB52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00e51766-c097-4016-b2c9-f764c1b9e80d"/>
    <ds:schemaRef ds:uri="a85e025c-6a71-4f4a-a309-b65166e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13788</Characters>
  <Application>Microsoft Office Word</Application>
  <DocSecurity>0</DocSecurity>
  <Lines>114</Lines>
  <Paragraphs>32</Paragraphs>
  <ScaleCrop>false</ScaleCrop>
  <Company>Wissenraet van Spaendonck</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elhu</dc:creator>
  <cp:lastModifiedBy>elhu</cp:lastModifiedBy>
  <cp:revision>2</cp:revision>
  <dcterms:created xsi:type="dcterms:W3CDTF">2014-05-08T13:19:00Z</dcterms:created>
  <dcterms:modified xsi:type="dcterms:W3CDTF">2014-05-08T13:19:00Z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0x0101008D9735EC3BFF4768896A45CEB68EE134007265B4E295F6E04CA204602DFF988C940200E92DE0632B88A140B1E7CB709D0B7B3E</vt:lpwstr>
  </property>
</Properties>
</file>